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ACCC" w14:textId="77777777" w:rsidR="003773FF" w:rsidRPr="000A5771" w:rsidRDefault="003773FF" w:rsidP="003773FF">
      <w:pPr>
        <w:pStyle w:val="Heading2"/>
        <w:rPr>
          <w:rStyle w:val="SubtleEmphasis"/>
          <w:rFonts w:cs="Arial"/>
          <w:i w:val="0"/>
          <w:sz w:val="40"/>
          <w:szCs w:val="40"/>
        </w:rPr>
      </w:pPr>
      <w:r w:rsidRPr="000A5771">
        <w:rPr>
          <w:rStyle w:val="SubtleEmphasis"/>
          <w:rFonts w:cs="Arial"/>
          <w:i w:val="0"/>
          <w:sz w:val="40"/>
          <w:szCs w:val="40"/>
        </w:rPr>
        <w:t>L&amp;T Finance</w:t>
      </w:r>
      <w:r w:rsidR="00A1267B" w:rsidRPr="000A5771">
        <w:rPr>
          <w:rStyle w:val="SubtleEmphasis"/>
          <w:rFonts w:cs="Arial"/>
          <w:i w:val="0"/>
          <w:sz w:val="40"/>
          <w:szCs w:val="40"/>
        </w:rPr>
        <w:t xml:space="preserve"> Ltd</w:t>
      </w:r>
    </w:p>
    <w:p w14:paraId="6A00D9A3" w14:textId="77777777" w:rsidR="004E524A" w:rsidRPr="000A5771" w:rsidRDefault="002F17A9" w:rsidP="0095343C">
      <w:pPr>
        <w:pStyle w:val="Quote"/>
        <w:rPr>
          <w:rFonts w:ascii="Arial" w:hAnsi="Arial" w:cs="Arial"/>
          <w:b/>
          <w:bCs/>
        </w:rPr>
      </w:pPr>
      <w:r w:rsidRPr="000A5771">
        <w:rPr>
          <w:rStyle w:val="SubtleEmphasis"/>
          <w:rFonts w:ascii="Arial" w:hAnsi="Arial" w:cs="Arial"/>
          <w:b/>
          <w:bCs/>
        </w:rPr>
        <w:t xml:space="preserve">Disclosure </w:t>
      </w:r>
      <w:r w:rsidR="00796E8A" w:rsidRPr="000A5771">
        <w:rPr>
          <w:rStyle w:val="SubtleEmphasis"/>
          <w:rFonts w:ascii="Arial" w:hAnsi="Arial" w:cs="Arial"/>
          <w:b/>
          <w:bCs/>
        </w:rPr>
        <w:t>on</w:t>
      </w:r>
      <w:r w:rsidRPr="000A5771">
        <w:rPr>
          <w:rStyle w:val="SubtleEmphasis"/>
          <w:rFonts w:ascii="Arial" w:hAnsi="Arial" w:cs="Arial"/>
          <w:b/>
          <w:bCs/>
        </w:rPr>
        <w:t xml:space="preserve"> Liquidity Ris</w:t>
      </w:r>
      <w:r w:rsidR="00796E8A" w:rsidRPr="000A5771">
        <w:rPr>
          <w:rStyle w:val="SubtleEmphasis"/>
          <w:rFonts w:ascii="Arial" w:hAnsi="Arial" w:cs="Arial"/>
          <w:b/>
          <w:bCs/>
        </w:rPr>
        <w:t>k</w:t>
      </w:r>
      <w:r w:rsidRPr="000A5771">
        <w:rPr>
          <w:rStyle w:val="SubtleEmphasis"/>
          <w:rFonts w:ascii="Arial" w:hAnsi="Arial" w:cs="Arial"/>
          <w:b/>
          <w:bCs/>
        </w:rPr>
        <w:t xml:space="preserve"> </w:t>
      </w:r>
    </w:p>
    <w:p w14:paraId="3DAA1FA7" w14:textId="77777777" w:rsidR="004E524A" w:rsidRPr="000A5771" w:rsidRDefault="004E524A" w:rsidP="004E524A">
      <w:pPr>
        <w:autoSpaceDE w:val="0"/>
        <w:autoSpaceDN w:val="0"/>
        <w:adjustRightInd w:val="0"/>
        <w:spacing w:after="0" w:line="240" w:lineRule="auto"/>
        <w:rPr>
          <w:rFonts w:ascii="Arial" w:hAnsi="Arial" w:cs="Arial"/>
          <w:b/>
          <w:bCs/>
          <w:color w:val="000000"/>
          <w:u w:val="single"/>
          <w:lang w:val="en-IN"/>
        </w:rPr>
      </w:pPr>
      <w:r w:rsidRPr="000A5771">
        <w:rPr>
          <w:rFonts w:ascii="Arial" w:hAnsi="Arial" w:cs="Arial"/>
          <w:b/>
          <w:bCs/>
          <w:color w:val="000000"/>
          <w:u w:val="single"/>
          <w:lang w:val="en-IN"/>
        </w:rPr>
        <w:t>Background:</w:t>
      </w:r>
    </w:p>
    <w:p w14:paraId="428D108D" w14:textId="77777777" w:rsidR="004E524A" w:rsidRPr="000A5771" w:rsidRDefault="004E524A" w:rsidP="004E524A">
      <w:pPr>
        <w:autoSpaceDE w:val="0"/>
        <w:autoSpaceDN w:val="0"/>
        <w:adjustRightInd w:val="0"/>
        <w:spacing w:after="0" w:line="240" w:lineRule="auto"/>
        <w:rPr>
          <w:rFonts w:ascii="Arial" w:hAnsi="Arial" w:cs="Arial"/>
          <w:color w:val="000000"/>
          <w:lang w:val="en-IN"/>
        </w:rPr>
      </w:pPr>
    </w:p>
    <w:p w14:paraId="53BE6CEC" w14:textId="77777777" w:rsidR="005E54FA" w:rsidRDefault="0072774E" w:rsidP="00611A0D">
      <w:pPr>
        <w:pStyle w:val="Default"/>
        <w:jc w:val="both"/>
        <w:rPr>
          <w:sz w:val="22"/>
          <w:szCs w:val="22"/>
        </w:rPr>
      </w:pPr>
      <w:r w:rsidRPr="000A5771">
        <w:rPr>
          <w:sz w:val="22"/>
          <w:szCs w:val="22"/>
        </w:rPr>
        <w:t>RBI has issued final guidelines on Liquidity Risk Management Framework for Non-Banking Financial Companies and Core Investment Companies on</w:t>
      </w:r>
      <w:r w:rsidR="004E524A" w:rsidRPr="000A5771">
        <w:rPr>
          <w:sz w:val="22"/>
          <w:szCs w:val="22"/>
        </w:rPr>
        <w:t xml:space="preserve"> November 04, 2019</w:t>
      </w:r>
      <w:r w:rsidRPr="000A5771">
        <w:rPr>
          <w:sz w:val="22"/>
          <w:szCs w:val="22"/>
        </w:rPr>
        <w:t>.</w:t>
      </w:r>
      <w:r w:rsidR="00CF4EB5" w:rsidRPr="000A5771">
        <w:rPr>
          <w:sz w:val="22"/>
          <w:szCs w:val="22"/>
        </w:rPr>
        <w:t xml:space="preserve"> As per the said guidelines, </w:t>
      </w:r>
      <w:r w:rsidR="00CD4BBE" w:rsidRPr="000A5771">
        <w:rPr>
          <w:sz w:val="22"/>
          <w:szCs w:val="22"/>
        </w:rPr>
        <w:t xml:space="preserve">NBFC are required to </w:t>
      </w:r>
      <w:r w:rsidR="00796E8A" w:rsidRPr="000A5771">
        <w:rPr>
          <w:sz w:val="22"/>
          <w:szCs w:val="22"/>
        </w:rPr>
        <w:t xml:space="preserve">publicly </w:t>
      </w:r>
      <w:r w:rsidR="00CF4EB5" w:rsidRPr="000A5771">
        <w:rPr>
          <w:sz w:val="22"/>
          <w:szCs w:val="22"/>
        </w:rPr>
        <w:t xml:space="preserve">disclose </w:t>
      </w:r>
      <w:r w:rsidR="00796E8A" w:rsidRPr="000A5771">
        <w:rPr>
          <w:sz w:val="22"/>
          <w:szCs w:val="22"/>
        </w:rPr>
        <w:t xml:space="preserve">the below </w:t>
      </w:r>
      <w:r w:rsidR="00CF4EB5" w:rsidRPr="000A5771">
        <w:rPr>
          <w:sz w:val="22"/>
          <w:szCs w:val="22"/>
        </w:rPr>
        <w:t xml:space="preserve">information </w:t>
      </w:r>
      <w:r w:rsidR="00796E8A" w:rsidRPr="000A5771">
        <w:rPr>
          <w:sz w:val="22"/>
          <w:szCs w:val="22"/>
        </w:rPr>
        <w:t xml:space="preserve">related to </w:t>
      </w:r>
      <w:r w:rsidR="00CD4BBE" w:rsidRPr="000A5771">
        <w:rPr>
          <w:sz w:val="22"/>
          <w:szCs w:val="22"/>
        </w:rPr>
        <w:t xml:space="preserve">liquidity risk </w:t>
      </w:r>
      <w:r w:rsidR="00CF4EB5" w:rsidRPr="000A5771">
        <w:rPr>
          <w:sz w:val="22"/>
          <w:szCs w:val="22"/>
        </w:rPr>
        <w:t>on a quarterly basis</w:t>
      </w:r>
      <w:r w:rsidR="00CD4BBE" w:rsidRPr="000A5771">
        <w:rPr>
          <w:sz w:val="22"/>
          <w:szCs w:val="22"/>
        </w:rPr>
        <w:t xml:space="preserve">. </w:t>
      </w:r>
    </w:p>
    <w:p w14:paraId="0DDBE268" w14:textId="77777777" w:rsidR="005E54FA" w:rsidRDefault="005E54FA" w:rsidP="00611A0D">
      <w:pPr>
        <w:pStyle w:val="Default"/>
        <w:jc w:val="both"/>
        <w:rPr>
          <w:sz w:val="22"/>
          <w:szCs w:val="22"/>
        </w:rPr>
      </w:pPr>
    </w:p>
    <w:p w14:paraId="4A293512" w14:textId="706DB3E8" w:rsidR="005E54FA" w:rsidRPr="000A5771" w:rsidRDefault="005E54FA" w:rsidP="005E54FA">
      <w:pPr>
        <w:pStyle w:val="Default"/>
        <w:jc w:val="both"/>
        <w:rPr>
          <w:sz w:val="22"/>
          <w:szCs w:val="22"/>
        </w:rPr>
      </w:pPr>
      <w:r w:rsidRPr="000A5771">
        <w:rPr>
          <w:sz w:val="22"/>
          <w:szCs w:val="22"/>
        </w:rPr>
        <w:t xml:space="preserve">Basis the above, the disclosure on liquidity risk for L&amp;T Finance Ltd as at </w:t>
      </w:r>
      <w:r w:rsidR="004A0A3C">
        <w:rPr>
          <w:sz w:val="22"/>
          <w:szCs w:val="22"/>
        </w:rPr>
        <w:t>June</w:t>
      </w:r>
      <w:r w:rsidRPr="000A5771">
        <w:rPr>
          <w:sz w:val="22"/>
          <w:szCs w:val="22"/>
        </w:rPr>
        <w:t xml:space="preserve"> 3</w:t>
      </w:r>
      <w:r w:rsidR="004A0A3C">
        <w:rPr>
          <w:sz w:val="22"/>
          <w:szCs w:val="22"/>
        </w:rPr>
        <w:t>0</w:t>
      </w:r>
      <w:r w:rsidRPr="000A5771">
        <w:rPr>
          <w:sz w:val="22"/>
          <w:szCs w:val="22"/>
        </w:rPr>
        <w:t>, 202</w:t>
      </w:r>
      <w:r>
        <w:rPr>
          <w:sz w:val="22"/>
          <w:szCs w:val="22"/>
        </w:rPr>
        <w:t>3</w:t>
      </w:r>
      <w:r w:rsidRPr="000A5771">
        <w:rPr>
          <w:sz w:val="22"/>
          <w:szCs w:val="22"/>
        </w:rPr>
        <w:t xml:space="preserve"> is given below:</w:t>
      </w:r>
    </w:p>
    <w:p w14:paraId="38C0C49E" w14:textId="77777777" w:rsidR="008B2DD4" w:rsidRPr="000A5771" w:rsidRDefault="008B2DD4" w:rsidP="0095343C">
      <w:pPr>
        <w:pStyle w:val="Default"/>
        <w:jc w:val="both"/>
        <w:rPr>
          <w:sz w:val="22"/>
          <w:szCs w:val="22"/>
        </w:rPr>
      </w:pPr>
    </w:p>
    <w:p w14:paraId="44227EBF" w14:textId="77777777" w:rsidR="00DB4FD4" w:rsidRPr="000A5771" w:rsidRDefault="00DB4FD4" w:rsidP="00DB4FD4">
      <w:pPr>
        <w:pStyle w:val="ListParagraph"/>
        <w:numPr>
          <w:ilvl w:val="0"/>
          <w:numId w:val="4"/>
        </w:numPr>
        <w:spacing w:before="120" w:after="120"/>
        <w:ind w:left="142"/>
        <w:jc w:val="both"/>
        <w:rPr>
          <w:rFonts w:ascii="Arial" w:hAnsi="Arial" w:cs="Arial"/>
        </w:rPr>
      </w:pPr>
      <w:r w:rsidRPr="000A5771">
        <w:rPr>
          <w:rFonts w:ascii="Arial" w:hAnsi="Arial" w:cs="Arial"/>
          <w:b/>
          <w:u w:val="single"/>
        </w:rPr>
        <w:t>Funding Concentration based on significant counterparty</w:t>
      </w:r>
    </w:p>
    <w:tbl>
      <w:tblPr>
        <w:tblW w:w="9169" w:type="dxa"/>
        <w:tblInd w:w="113" w:type="dxa"/>
        <w:tblLook w:val="04A0" w:firstRow="1" w:lastRow="0" w:firstColumn="1" w:lastColumn="0" w:noHBand="0" w:noVBand="1"/>
      </w:tblPr>
      <w:tblGrid>
        <w:gridCol w:w="1050"/>
        <w:gridCol w:w="2995"/>
        <w:gridCol w:w="1726"/>
        <w:gridCol w:w="1699"/>
        <w:gridCol w:w="1699"/>
      </w:tblGrid>
      <w:tr w:rsidR="00C42299" w:rsidRPr="000A5771" w14:paraId="2864F25A" w14:textId="77777777" w:rsidTr="0095343C">
        <w:trPr>
          <w:trHeight w:val="287"/>
        </w:trPr>
        <w:tc>
          <w:tcPr>
            <w:tcW w:w="105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A6536D5"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Sr. No.</w:t>
            </w:r>
          </w:p>
        </w:tc>
        <w:tc>
          <w:tcPr>
            <w:tcW w:w="2995" w:type="dxa"/>
            <w:tcBorders>
              <w:top w:val="single" w:sz="4" w:space="0" w:color="auto"/>
              <w:left w:val="nil"/>
              <w:bottom w:val="single" w:sz="4" w:space="0" w:color="auto"/>
              <w:right w:val="single" w:sz="4" w:space="0" w:color="auto"/>
            </w:tcBorders>
            <w:shd w:val="clear" w:color="000000" w:fill="E4DFEC"/>
            <w:vAlign w:val="center"/>
            <w:hideMark/>
          </w:tcPr>
          <w:p w14:paraId="17F5743B"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No. of Significant Counterparties</w:t>
            </w:r>
          </w:p>
        </w:tc>
        <w:tc>
          <w:tcPr>
            <w:tcW w:w="1726" w:type="dxa"/>
            <w:tcBorders>
              <w:top w:val="single" w:sz="4" w:space="0" w:color="auto"/>
              <w:left w:val="nil"/>
              <w:bottom w:val="single" w:sz="4" w:space="0" w:color="auto"/>
              <w:right w:val="single" w:sz="4" w:space="0" w:color="auto"/>
            </w:tcBorders>
            <w:shd w:val="clear" w:color="000000" w:fill="E4DFEC"/>
            <w:vAlign w:val="center"/>
            <w:hideMark/>
          </w:tcPr>
          <w:p w14:paraId="3E78AFCF"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xml:space="preserve">Amount </w:t>
            </w:r>
          </w:p>
          <w:p w14:paraId="36FD70C4"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w:t>
            </w:r>
            <w:r w:rsidR="005160C8" w:rsidRPr="000A5771">
              <w:rPr>
                <w:rFonts w:ascii="Arial" w:hAnsi="Arial" w:cs="Arial"/>
                <w:b/>
                <w:bCs/>
                <w:color w:val="000000"/>
                <w:lang w:val="en-IN"/>
              </w:rPr>
              <w:t>₹</w:t>
            </w:r>
            <w:r w:rsidRPr="000A5771">
              <w:rPr>
                <w:rFonts w:ascii="Arial" w:eastAsia="Times New Roman" w:hAnsi="Arial" w:cs="Arial"/>
                <w:b/>
                <w:bCs/>
                <w:color w:val="000000"/>
                <w:lang w:val="en-IN" w:eastAsia="en-IN"/>
              </w:rPr>
              <w:t xml:space="preserve"> cr</w:t>
            </w:r>
            <w:r w:rsidR="005160C8" w:rsidRPr="000A5771">
              <w:rPr>
                <w:rFonts w:ascii="Arial" w:eastAsia="Times New Roman" w:hAnsi="Arial" w:cs="Arial"/>
                <w:b/>
                <w:bCs/>
                <w:color w:val="000000"/>
                <w:lang w:val="en-IN" w:eastAsia="en-IN"/>
              </w:rPr>
              <w:t>ore</w:t>
            </w:r>
            <w:r w:rsidRPr="000A5771">
              <w:rPr>
                <w:rFonts w:ascii="Arial" w:eastAsia="Times New Roman" w:hAnsi="Arial" w:cs="Arial"/>
                <w:b/>
                <w:bCs/>
                <w:color w:val="000000"/>
                <w:lang w:val="en-IN" w:eastAsia="en-IN"/>
              </w:rPr>
              <w:t>)</w:t>
            </w:r>
          </w:p>
        </w:tc>
        <w:tc>
          <w:tcPr>
            <w:tcW w:w="1699" w:type="dxa"/>
            <w:tcBorders>
              <w:top w:val="single" w:sz="4" w:space="0" w:color="auto"/>
              <w:left w:val="nil"/>
              <w:bottom w:val="single" w:sz="4" w:space="0" w:color="auto"/>
              <w:right w:val="single" w:sz="4" w:space="0" w:color="auto"/>
            </w:tcBorders>
            <w:shd w:val="clear" w:color="000000" w:fill="E4DFEC"/>
          </w:tcPr>
          <w:p w14:paraId="33DBDD81"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of Total Deposits</w:t>
            </w:r>
          </w:p>
        </w:tc>
        <w:tc>
          <w:tcPr>
            <w:tcW w:w="1699"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4CD7096" w14:textId="77777777" w:rsidR="00C42299" w:rsidRPr="000A5771" w:rsidRDefault="00C42299" w:rsidP="00DB4FD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of Total Liabilities</w:t>
            </w:r>
          </w:p>
        </w:tc>
      </w:tr>
      <w:tr w:rsidR="00C42299" w:rsidRPr="000A5771" w14:paraId="49EA767B" w14:textId="77777777" w:rsidTr="0095343C">
        <w:trPr>
          <w:trHeight w:val="156"/>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3B22197" w14:textId="77777777" w:rsidR="00C42299" w:rsidRPr="000A5771" w:rsidRDefault="00C42299" w:rsidP="00DB4FD4">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w:t>
            </w:r>
          </w:p>
        </w:tc>
        <w:tc>
          <w:tcPr>
            <w:tcW w:w="2995" w:type="dxa"/>
            <w:tcBorders>
              <w:top w:val="nil"/>
              <w:left w:val="nil"/>
              <w:bottom w:val="single" w:sz="4" w:space="0" w:color="auto"/>
              <w:right w:val="single" w:sz="4" w:space="0" w:color="auto"/>
            </w:tcBorders>
            <w:shd w:val="clear" w:color="auto" w:fill="auto"/>
            <w:noWrap/>
            <w:vAlign w:val="bottom"/>
            <w:hideMark/>
          </w:tcPr>
          <w:p w14:paraId="23BF6EDB" w14:textId="41B1653A" w:rsidR="00C42299" w:rsidRPr="000A5771" w:rsidRDefault="004A0A3C" w:rsidP="00282D70">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20</w:t>
            </w:r>
          </w:p>
        </w:tc>
        <w:tc>
          <w:tcPr>
            <w:tcW w:w="1726" w:type="dxa"/>
            <w:tcBorders>
              <w:top w:val="nil"/>
              <w:left w:val="nil"/>
              <w:bottom w:val="single" w:sz="4" w:space="0" w:color="auto"/>
              <w:right w:val="single" w:sz="4" w:space="0" w:color="auto"/>
            </w:tcBorders>
            <w:shd w:val="clear" w:color="auto" w:fill="auto"/>
            <w:noWrap/>
            <w:vAlign w:val="bottom"/>
            <w:hideMark/>
          </w:tcPr>
          <w:p w14:paraId="020C889A" w14:textId="65321CB2" w:rsidR="00C42299" w:rsidRPr="000A5771" w:rsidRDefault="00924C1B" w:rsidP="00A07117">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5</w:t>
            </w:r>
            <w:r w:rsidR="004A0A3C">
              <w:rPr>
                <w:rFonts w:ascii="Arial" w:eastAsia="Times New Roman" w:hAnsi="Arial" w:cs="Arial"/>
                <w:color w:val="000000"/>
                <w:lang w:val="en-IN" w:eastAsia="en-IN"/>
              </w:rPr>
              <w:t>1</w:t>
            </w:r>
            <w:r w:rsidRPr="000A5771">
              <w:rPr>
                <w:rFonts w:ascii="Arial" w:eastAsia="Times New Roman" w:hAnsi="Arial" w:cs="Arial"/>
                <w:color w:val="000000"/>
                <w:lang w:val="en-IN" w:eastAsia="en-IN"/>
              </w:rPr>
              <w:t>,</w:t>
            </w:r>
            <w:r w:rsidR="00B00184">
              <w:rPr>
                <w:rFonts w:ascii="Arial" w:eastAsia="Times New Roman" w:hAnsi="Arial" w:cs="Arial"/>
                <w:color w:val="000000"/>
                <w:lang w:val="en-IN" w:eastAsia="en-IN"/>
              </w:rPr>
              <w:t>0</w:t>
            </w:r>
            <w:r w:rsidR="004A0A3C">
              <w:rPr>
                <w:rFonts w:ascii="Arial" w:eastAsia="Times New Roman" w:hAnsi="Arial" w:cs="Arial"/>
                <w:color w:val="000000"/>
                <w:lang w:val="en-IN" w:eastAsia="en-IN"/>
              </w:rPr>
              <w:t>36</w:t>
            </w:r>
          </w:p>
        </w:tc>
        <w:tc>
          <w:tcPr>
            <w:tcW w:w="1699" w:type="dxa"/>
            <w:tcBorders>
              <w:top w:val="single" w:sz="4" w:space="0" w:color="auto"/>
              <w:left w:val="nil"/>
              <w:bottom w:val="single" w:sz="4" w:space="0" w:color="auto"/>
              <w:right w:val="single" w:sz="4" w:space="0" w:color="auto"/>
            </w:tcBorders>
          </w:tcPr>
          <w:p w14:paraId="35E12289" w14:textId="77777777" w:rsidR="00C42299" w:rsidRPr="000A5771" w:rsidRDefault="00C42299" w:rsidP="00DB4FD4">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N.A.</w:t>
            </w:r>
          </w:p>
        </w:tc>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18F6AA28" w14:textId="1C45FB3C" w:rsidR="00C42299" w:rsidRPr="000A5771" w:rsidRDefault="00384D3A" w:rsidP="00A07117">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6</w:t>
            </w:r>
            <w:r w:rsidR="00D3410E">
              <w:rPr>
                <w:rFonts w:ascii="Arial" w:eastAsia="Times New Roman" w:hAnsi="Arial" w:cs="Arial"/>
                <w:color w:val="000000"/>
                <w:lang w:val="en-IN" w:eastAsia="en-IN"/>
              </w:rPr>
              <w:t>5</w:t>
            </w:r>
            <w:r w:rsidRPr="000A5771">
              <w:rPr>
                <w:rFonts w:ascii="Arial" w:eastAsia="Times New Roman" w:hAnsi="Arial" w:cs="Arial"/>
                <w:color w:val="000000"/>
                <w:lang w:val="en-IN" w:eastAsia="en-IN"/>
              </w:rPr>
              <w:t>%</w:t>
            </w:r>
          </w:p>
        </w:tc>
      </w:tr>
    </w:tbl>
    <w:p w14:paraId="42D01E21" w14:textId="77777777" w:rsidR="00DB4FD4" w:rsidRPr="000A5771" w:rsidRDefault="00DB4FD4" w:rsidP="00FE27A5">
      <w:pPr>
        <w:spacing w:before="120" w:after="120"/>
        <w:jc w:val="both"/>
        <w:rPr>
          <w:rFonts w:ascii="Arial" w:hAnsi="Arial" w:cs="Arial"/>
        </w:rPr>
      </w:pPr>
      <w:r w:rsidRPr="000A5771">
        <w:rPr>
          <w:rFonts w:ascii="Arial" w:hAnsi="Arial" w:cs="Arial"/>
        </w:rPr>
        <w:t>Note</w:t>
      </w:r>
      <w:r w:rsidR="005160C8" w:rsidRPr="000A5771">
        <w:rPr>
          <w:rFonts w:ascii="Arial" w:hAnsi="Arial" w:cs="Arial"/>
        </w:rPr>
        <w:t>s</w:t>
      </w:r>
      <w:r w:rsidRPr="000A5771">
        <w:rPr>
          <w:rFonts w:ascii="Arial" w:hAnsi="Arial" w:cs="Arial"/>
        </w:rPr>
        <w:t>:</w:t>
      </w:r>
    </w:p>
    <w:p w14:paraId="4520C2D6" w14:textId="77777777" w:rsidR="00796E8A" w:rsidRPr="000A5771" w:rsidRDefault="00796E8A" w:rsidP="00DB4FD4">
      <w:pPr>
        <w:pStyle w:val="ListParagraph"/>
        <w:numPr>
          <w:ilvl w:val="0"/>
          <w:numId w:val="5"/>
        </w:numPr>
        <w:spacing w:before="120" w:after="120"/>
        <w:jc w:val="both"/>
        <w:rPr>
          <w:rFonts w:ascii="Arial" w:hAnsi="Arial" w:cs="Arial"/>
        </w:rPr>
      </w:pPr>
      <w:r w:rsidRPr="000A5771">
        <w:rPr>
          <w:rFonts w:ascii="Arial" w:hAnsi="Arial" w:cs="Arial"/>
        </w:rPr>
        <w:t xml:space="preserve">A “Significant counterparty” is defined as a single counterparty or group of connected or affiliated counterparties accounting in aggregate for more than 1% of the NBFC-NDSI's, NBFC-Ds total liabilities and 10% for other non-deposit taking NBFCs  </w:t>
      </w:r>
    </w:p>
    <w:p w14:paraId="14DF6655" w14:textId="77777777" w:rsidR="00DB4FD4" w:rsidRPr="000A5771" w:rsidRDefault="00DB4FD4" w:rsidP="0095343C">
      <w:pPr>
        <w:pStyle w:val="ListParagraph"/>
        <w:numPr>
          <w:ilvl w:val="0"/>
          <w:numId w:val="5"/>
        </w:numPr>
        <w:spacing w:before="120" w:after="120"/>
        <w:jc w:val="both"/>
        <w:rPr>
          <w:rFonts w:ascii="Arial" w:hAnsi="Arial" w:cs="Arial"/>
        </w:rPr>
      </w:pPr>
      <w:r w:rsidRPr="000A5771">
        <w:rPr>
          <w:rFonts w:ascii="Arial" w:hAnsi="Arial" w:cs="Arial"/>
        </w:rPr>
        <w:t>Total Liabi</w:t>
      </w:r>
      <w:r w:rsidR="00363BA1" w:rsidRPr="000A5771">
        <w:rPr>
          <w:rFonts w:ascii="Arial" w:hAnsi="Arial" w:cs="Arial"/>
        </w:rPr>
        <w:t>lities has been computed as</w:t>
      </w:r>
      <w:r w:rsidRPr="000A5771">
        <w:rPr>
          <w:rFonts w:ascii="Arial" w:hAnsi="Arial" w:cs="Arial"/>
        </w:rPr>
        <w:t xml:space="preserve"> Total Assets </w:t>
      </w:r>
      <w:r w:rsidR="00363BA1" w:rsidRPr="000A5771">
        <w:rPr>
          <w:rFonts w:ascii="Arial" w:hAnsi="Arial" w:cs="Arial"/>
        </w:rPr>
        <w:t xml:space="preserve">less </w:t>
      </w:r>
      <w:r w:rsidRPr="000A5771">
        <w:rPr>
          <w:rFonts w:ascii="Arial" w:hAnsi="Arial" w:cs="Arial"/>
        </w:rPr>
        <w:t>Equity</w:t>
      </w:r>
      <w:r w:rsidR="00363BA1" w:rsidRPr="000A5771">
        <w:rPr>
          <w:rFonts w:ascii="Arial" w:hAnsi="Arial" w:cs="Arial"/>
        </w:rPr>
        <w:t xml:space="preserve"> share capital less Reserve &amp; Surplus</w:t>
      </w:r>
      <w:r w:rsidRPr="000A5771">
        <w:rPr>
          <w:rFonts w:ascii="Arial" w:hAnsi="Arial" w:cs="Arial"/>
        </w:rPr>
        <w:t xml:space="preserve"> </w:t>
      </w:r>
      <w:r w:rsidR="00363BA1" w:rsidRPr="000A5771">
        <w:rPr>
          <w:rFonts w:ascii="Arial" w:hAnsi="Arial" w:cs="Arial"/>
        </w:rPr>
        <w:t xml:space="preserve">and </w:t>
      </w:r>
      <w:r w:rsidR="009864C1" w:rsidRPr="000A5771">
        <w:rPr>
          <w:rFonts w:ascii="Arial" w:hAnsi="Arial" w:cs="Arial"/>
        </w:rPr>
        <w:t>computed basis extant regulatory ALM gui</w:t>
      </w:r>
      <w:r w:rsidR="00C5440D" w:rsidRPr="000A5771">
        <w:rPr>
          <w:rFonts w:ascii="Arial" w:hAnsi="Arial" w:cs="Arial"/>
        </w:rPr>
        <w:t>delines</w:t>
      </w:r>
    </w:p>
    <w:p w14:paraId="59659582" w14:textId="77777777" w:rsidR="005160C8" w:rsidRPr="000A5771" w:rsidRDefault="005160C8" w:rsidP="0095343C">
      <w:pPr>
        <w:pStyle w:val="ListParagraph"/>
        <w:autoSpaceDE w:val="0"/>
        <w:autoSpaceDN w:val="0"/>
        <w:adjustRightInd w:val="0"/>
        <w:spacing w:after="0" w:line="240" w:lineRule="auto"/>
        <w:rPr>
          <w:rFonts w:ascii="Arial" w:hAnsi="Arial" w:cs="Arial"/>
          <w:color w:val="000000"/>
          <w:sz w:val="24"/>
          <w:szCs w:val="24"/>
          <w:lang w:val="en-IN"/>
        </w:rPr>
      </w:pPr>
    </w:p>
    <w:p w14:paraId="292572C5" w14:textId="77777777" w:rsidR="005160C8" w:rsidRPr="000A5771" w:rsidRDefault="005160C8" w:rsidP="005160C8">
      <w:pPr>
        <w:pStyle w:val="ListParagraph"/>
        <w:numPr>
          <w:ilvl w:val="0"/>
          <w:numId w:val="4"/>
        </w:numPr>
        <w:spacing w:before="120" w:after="120"/>
        <w:ind w:left="142"/>
        <w:jc w:val="both"/>
        <w:rPr>
          <w:rFonts w:ascii="Arial" w:hAnsi="Arial" w:cs="Arial"/>
          <w:b/>
          <w:bCs/>
          <w:color w:val="000000"/>
          <w:lang w:val="en-IN"/>
        </w:rPr>
      </w:pPr>
      <w:r w:rsidRPr="000A5771">
        <w:rPr>
          <w:rFonts w:ascii="Arial" w:hAnsi="Arial" w:cs="Arial"/>
          <w:b/>
          <w:bCs/>
          <w:color w:val="000000"/>
          <w:u w:val="single"/>
          <w:lang w:val="en-IN"/>
        </w:rPr>
        <w:t>Top 20 large deposits (amount in ₹ crore and % of total deposits)</w:t>
      </w:r>
      <w:r w:rsidRPr="000A5771">
        <w:rPr>
          <w:rFonts w:ascii="Arial" w:hAnsi="Arial" w:cs="Arial"/>
          <w:b/>
          <w:bCs/>
          <w:color w:val="000000"/>
          <w:lang w:val="en-IN"/>
        </w:rPr>
        <w:t xml:space="preserve"> </w:t>
      </w:r>
      <w:r w:rsidRPr="000A5771">
        <w:rPr>
          <w:rFonts w:ascii="Arial" w:hAnsi="Arial" w:cs="Arial"/>
          <w:color w:val="000000"/>
          <w:lang w:val="en-IN"/>
        </w:rPr>
        <w:t>– Not Applicable</w:t>
      </w:r>
    </w:p>
    <w:p w14:paraId="1CB0C18A" w14:textId="77777777" w:rsidR="005160C8" w:rsidRPr="000A5771" w:rsidRDefault="005160C8" w:rsidP="0095343C">
      <w:pPr>
        <w:pStyle w:val="ListParagraph"/>
        <w:spacing w:before="120" w:after="120"/>
        <w:ind w:left="142"/>
        <w:jc w:val="both"/>
        <w:rPr>
          <w:rFonts w:ascii="Arial" w:hAnsi="Arial" w:cs="Arial"/>
          <w:b/>
          <w:bCs/>
          <w:color w:val="000000"/>
          <w:lang w:val="en-IN"/>
        </w:rPr>
      </w:pPr>
    </w:p>
    <w:p w14:paraId="43FD9A08" w14:textId="77777777" w:rsidR="009864C1" w:rsidRPr="000A5771" w:rsidRDefault="009864C1" w:rsidP="00DB4FD4">
      <w:pPr>
        <w:pStyle w:val="ListParagraph"/>
        <w:numPr>
          <w:ilvl w:val="0"/>
          <w:numId w:val="4"/>
        </w:numPr>
        <w:spacing w:before="120" w:after="120"/>
        <w:ind w:left="142"/>
        <w:jc w:val="both"/>
        <w:rPr>
          <w:rFonts w:ascii="Arial" w:hAnsi="Arial" w:cs="Arial"/>
        </w:rPr>
      </w:pPr>
      <w:r w:rsidRPr="000A5771">
        <w:rPr>
          <w:rFonts w:ascii="Arial" w:hAnsi="Arial" w:cs="Arial"/>
          <w:b/>
          <w:u w:val="single"/>
        </w:rPr>
        <w:t xml:space="preserve">Top 10 </w:t>
      </w:r>
      <w:r w:rsidR="005160C8" w:rsidRPr="000A5771">
        <w:rPr>
          <w:rFonts w:ascii="Arial" w:hAnsi="Arial" w:cs="Arial"/>
          <w:b/>
          <w:u w:val="single"/>
        </w:rPr>
        <w:t>b</w:t>
      </w:r>
      <w:r w:rsidRPr="000A5771">
        <w:rPr>
          <w:rFonts w:ascii="Arial" w:hAnsi="Arial" w:cs="Arial"/>
          <w:b/>
          <w:u w:val="single"/>
        </w:rPr>
        <w:t>orrowing</w:t>
      </w:r>
      <w:r w:rsidR="005160C8" w:rsidRPr="000A5771">
        <w:rPr>
          <w:rFonts w:ascii="Arial" w:hAnsi="Arial" w:cs="Arial"/>
          <w:b/>
          <w:u w:val="single"/>
        </w:rPr>
        <w:t>s</w:t>
      </w:r>
    </w:p>
    <w:tbl>
      <w:tblPr>
        <w:tblW w:w="9157" w:type="dxa"/>
        <w:tblInd w:w="113" w:type="dxa"/>
        <w:tblLook w:val="04A0" w:firstRow="1" w:lastRow="0" w:firstColumn="1" w:lastColumn="0" w:noHBand="0" w:noVBand="1"/>
      </w:tblPr>
      <w:tblGrid>
        <w:gridCol w:w="4612"/>
        <w:gridCol w:w="4545"/>
      </w:tblGrid>
      <w:tr w:rsidR="009864C1" w:rsidRPr="000A5771" w14:paraId="16B93EF0" w14:textId="77777777" w:rsidTr="0095343C">
        <w:trPr>
          <w:trHeight w:val="195"/>
        </w:trPr>
        <w:tc>
          <w:tcPr>
            <w:tcW w:w="4612"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30B0902" w14:textId="530B4111" w:rsidR="009864C1" w:rsidRPr="000A5771" w:rsidRDefault="009864C1" w:rsidP="000A5771">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Amount (</w:t>
            </w:r>
            <w:r w:rsidR="005160C8" w:rsidRPr="000A5771">
              <w:rPr>
                <w:rFonts w:ascii="Arial" w:hAnsi="Arial" w:cs="Arial"/>
                <w:b/>
                <w:bCs/>
                <w:color w:val="000000"/>
                <w:lang w:val="en-IN"/>
              </w:rPr>
              <w:t>₹</w:t>
            </w:r>
            <w:r w:rsidR="000A5771">
              <w:rPr>
                <w:rFonts w:ascii="Arial" w:hAnsi="Arial" w:cs="Arial"/>
                <w:b/>
                <w:bCs/>
                <w:color w:val="000000"/>
                <w:lang w:val="en-IN"/>
              </w:rPr>
              <w:t xml:space="preserve"> </w:t>
            </w:r>
            <w:r w:rsidRPr="000A5771">
              <w:rPr>
                <w:rFonts w:ascii="Arial" w:eastAsia="Times New Roman" w:hAnsi="Arial" w:cs="Arial"/>
                <w:b/>
                <w:bCs/>
                <w:color w:val="000000"/>
                <w:lang w:val="en-IN" w:eastAsia="en-IN"/>
              </w:rPr>
              <w:t>cr</w:t>
            </w:r>
            <w:r w:rsidR="005160C8" w:rsidRPr="000A5771">
              <w:rPr>
                <w:rFonts w:ascii="Arial" w:eastAsia="Times New Roman" w:hAnsi="Arial" w:cs="Arial"/>
                <w:b/>
                <w:bCs/>
                <w:color w:val="000000"/>
                <w:lang w:val="en-IN" w:eastAsia="en-IN"/>
              </w:rPr>
              <w:t>ore</w:t>
            </w:r>
            <w:r w:rsidRPr="000A5771">
              <w:rPr>
                <w:rFonts w:ascii="Arial" w:eastAsia="Times New Roman" w:hAnsi="Arial" w:cs="Arial"/>
                <w:b/>
                <w:bCs/>
                <w:color w:val="000000"/>
                <w:lang w:val="en-IN" w:eastAsia="en-IN"/>
              </w:rPr>
              <w:t>)</w:t>
            </w:r>
          </w:p>
        </w:tc>
        <w:tc>
          <w:tcPr>
            <w:tcW w:w="4545" w:type="dxa"/>
            <w:tcBorders>
              <w:top w:val="single" w:sz="4" w:space="0" w:color="auto"/>
              <w:left w:val="nil"/>
              <w:bottom w:val="single" w:sz="4" w:space="0" w:color="auto"/>
              <w:right w:val="single" w:sz="4" w:space="0" w:color="auto"/>
            </w:tcBorders>
            <w:shd w:val="clear" w:color="000000" w:fill="E4DFEC"/>
            <w:vAlign w:val="center"/>
            <w:hideMark/>
          </w:tcPr>
          <w:p w14:paraId="09658558" w14:textId="77777777" w:rsidR="009864C1" w:rsidRPr="000A5771" w:rsidRDefault="009864C1" w:rsidP="009864C1">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of Total Borrowings</w:t>
            </w:r>
          </w:p>
        </w:tc>
      </w:tr>
      <w:tr w:rsidR="009864C1" w:rsidRPr="000A5771" w14:paraId="58762E36" w14:textId="77777777" w:rsidTr="0095343C">
        <w:trPr>
          <w:trHeight w:val="97"/>
        </w:trPr>
        <w:tc>
          <w:tcPr>
            <w:tcW w:w="4612" w:type="dxa"/>
            <w:tcBorders>
              <w:top w:val="nil"/>
              <w:left w:val="single" w:sz="4" w:space="0" w:color="auto"/>
              <w:bottom w:val="single" w:sz="4" w:space="0" w:color="auto"/>
              <w:right w:val="single" w:sz="4" w:space="0" w:color="auto"/>
            </w:tcBorders>
            <w:shd w:val="clear" w:color="auto" w:fill="auto"/>
            <w:noWrap/>
            <w:vAlign w:val="bottom"/>
            <w:hideMark/>
          </w:tcPr>
          <w:p w14:paraId="5BB038FB" w14:textId="09FE5F6B" w:rsidR="009864C1" w:rsidRPr="000A5771" w:rsidRDefault="004A0A3C" w:rsidP="00E5795F">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39</w:t>
            </w:r>
            <w:r w:rsidR="00B00184">
              <w:rPr>
                <w:rFonts w:ascii="Arial" w:eastAsia="Times New Roman" w:hAnsi="Arial" w:cs="Arial"/>
                <w:color w:val="000000"/>
                <w:lang w:val="en-IN" w:eastAsia="en-IN"/>
              </w:rPr>
              <w:t>,</w:t>
            </w:r>
            <w:r>
              <w:rPr>
                <w:rFonts w:ascii="Arial" w:eastAsia="Times New Roman" w:hAnsi="Arial" w:cs="Arial"/>
                <w:color w:val="000000"/>
                <w:lang w:val="en-IN" w:eastAsia="en-IN"/>
              </w:rPr>
              <w:t>980</w:t>
            </w:r>
          </w:p>
        </w:tc>
        <w:tc>
          <w:tcPr>
            <w:tcW w:w="4545" w:type="dxa"/>
            <w:tcBorders>
              <w:top w:val="nil"/>
              <w:left w:val="nil"/>
              <w:bottom w:val="single" w:sz="4" w:space="0" w:color="auto"/>
              <w:right w:val="single" w:sz="4" w:space="0" w:color="auto"/>
            </w:tcBorders>
            <w:shd w:val="clear" w:color="auto" w:fill="auto"/>
            <w:noWrap/>
            <w:vAlign w:val="bottom"/>
            <w:hideMark/>
          </w:tcPr>
          <w:p w14:paraId="1286CD14" w14:textId="3C9EDE67" w:rsidR="009864C1" w:rsidRPr="000A5771" w:rsidRDefault="00924C1B">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5</w:t>
            </w:r>
            <w:r w:rsidR="004A0A3C">
              <w:rPr>
                <w:rFonts w:ascii="Arial" w:eastAsia="Times New Roman" w:hAnsi="Arial" w:cs="Arial"/>
                <w:color w:val="000000"/>
                <w:lang w:val="en-IN" w:eastAsia="en-IN"/>
              </w:rPr>
              <w:t>6</w:t>
            </w:r>
            <w:r w:rsidR="00BB6E04" w:rsidRPr="000A5771">
              <w:rPr>
                <w:rFonts w:ascii="Arial" w:eastAsia="Times New Roman" w:hAnsi="Arial" w:cs="Arial"/>
                <w:color w:val="000000"/>
                <w:lang w:val="en-IN" w:eastAsia="en-IN"/>
              </w:rPr>
              <w:t>%</w:t>
            </w:r>
          </w:p>
        </w:tc>
      </w:tr>
    </w:tbl>
    <w:p w14:paraId="48D7C56D" w14:textId="77777777" w:rsidR="004632B4" w:rsidRPr="000A5771" w:rsidRDefault="004632B4" w:rsidP="00FE27A5">
      <w:pPr>
        <w:spacing w:before="120" w:after="120"/>
        <w:jc w:val="both"/>
        <w:rPr>
          <w:rFonts w:ascii="Arial" w:hAnsi="Arial" w:cs="Arial"/>
        </w:rPr>
      </w:pPr>
      <w:r w:rsidRPr="000A5771">
        <w:rPr>
          <w:rFonts w:ascii="Arial" w:hAnsi="Arial" w:cs="Arial"/>
        </w:rPr>
        <w:t>Note:</w:t>
      </w:r>
    </w:p>
    <w:p w14:paraId="18BDD173" w14:textId="77777777" w:rsidR="004632B4" w:rsidRPr="000A5771" w:rsidRDefault="004632B4" w:rsidP="004632B4">
      <w:pPr>
        <w:pStyle w:val="ListParagraph"/>
        <w:numPr>
          <w:ilvl w:val="0"/>
          <w:numId w:val="5"/>
        </w:numPr>
        <w:spacing w:before="120" w:after="120"/>
        <w:jc w:val="both"/>
        <w:rPr>
          <w:rFonts w:ascii="Arial" w:hAnsi="Arial" w:cs="Arial"/>
        </w:rPr>
      </w:pPr>
      <w:r w:rsidRPr="000A5771">
        <w:rPr>
          <w:rFonts w:ascii="Arial" w:hAnsi="Arial" w:cs="Arial"/>
        </w:rPr>
        <w:t>Total Borrowing</w:t>
      </w:r>
      <w:r w:rsidR="00B77F97" w:rsidRPr="000A5771">
        <w:rPr>
          <w:rFonts w:ascii="Arial" w:hAnsi="Arial" w:cs="Arial"/>
        </w:rPr>
        <w:t xml:space="preserve"> has been computed as Gross Total Debt</w:t>
      </w:r>
      <w:r w:rsidRPr="000A5771">
        <w:rPr>
          <w:rFonts w:ascii="Arial" w:hAnsi="Arial" w:cs="Arial"/>
        </w:rPr>
        <w:t xml:space="preserve"> basis extant regulatory ALM gui</w:t>
      </w:r>
      <w:r w:rsidR="00C5440D" w:rsidRPr="000A5771">
        <w:rPr>
          <w:rFonts w:ascii="Arial" w:hAnsi="Arial" w:cs="Arial"/>
        </w:rPr>
        <w:t>delines</w:t>
      </w:r>
      <w:r w:rsidR="00430FEB" w:rsidRPr="000A5771">
        <w:rPr>
          <w:rFonts w:ascii="Arial" w:hAnsi="Arial" w:cs="Arial"/>
        </w:rPr>
        <w:t>.</w:t>
      </w:r>
    </w:p>
    <w:p w14:paraId="524A72E6" w14:textId="77777777" w:rsidR="00994DB5" w:rsidRPr="000A5771" w:rsidRDefault="00994DB5" w:rsidP="009864C1">
      <w:pPr>
        <w:pStyle w:val="ListParagraph"/>
        <w:spacing w:before="120" w:after="120"/>
        <w:ind w:left="142"/>
        <w:jc w:val="both"/>
        <w:rPr>
          <w:rFonts w:ascii="Arial" w:hAnsi="Arial" w:cs="Arial"/>
        </w:rPr>
      </w:pPr>
    </w:p>
    <w:p w14:paraId="0D26B075" w14:textId="77777777" w:rsidR="00994DB5" w:rsidRDefault="00994DB5" w:rsidP="009864C1">
      <w:pPr>
        <w:pStyle w:val="ListParagraph"/>
        <w:spacing w:before="120" w:after="120"/>
        <w:ind w:left="142"/>
        <w:jc w:val="both"/>
        <w:rPr>
          <w:rFonts w:ascii="Arial" w:hAnsi="Arial" w:cs="Arial"/>
        </w:rPr>
      </w:pPr>
    </w:p>
    <w:p w14:paraId="55F358ED" w14:textId="77777777" w:rsidR="00C21D75" w:rsidRDefault="00C21D75" w:rsidP="009864C1">
      <w:pPr>
        <w:pStyle w:val="ListParagraph"/>
        <w:spacing w:before="120" w:after="120"/>
        <w:ind w:left="142"/>
        <w:jc w:val="both"/>
        <w:rPr>
          <w:rFonts w:ascii="Arial" w:hAnsi="Arial" w:cs="Arial"/>
        </w:rPr>
      </w:pPr>
    </w:p>
    <w:p w14:paraId="73A76418" w14:textId="77777777" w:rsidR="00C21D75" w:rsidRDefault="00C21D75" w:rsidP="009864C1">
      <w:pPr>
        <w:pStyle w:val="ListParagraph"/>
        <w:spacing w:before="120" w:after="120"/>
        <w:ind w:left="142"/>
        <w:jc w:val="both"/>
        <w:rPr>
          <w:rFonts w:ascii="Arial" w:hAnsi="Arial" w:cs="Arial"/>
        </w:rPr>
      </w:pPr>
    </w:p>
    <w:p w14:paraId="77B7F16A" w14:textId="77777777" w:rsidR="00C21D75" w:rsidRDefault="00C21D75" w:rsidP="009864C1">
      <w:pPr>
        <w:pStyle w:val="ListParagraph"/>
        <w:spacing w:before="120" w:after="120"/>
        <w:ind w:left="142"/>
        <w:jc w:val="both"/>
        <w:rPr>
          <w:rFonts w:ascii="Arial" w:hAnsi="Arial" w:cs="Arial"/>
        </w:rPr>
      </w:pPr>
    </w:p>
    <w:p w14:paraId="66B563B8" w14:textId="77777777" w:rsidR="00C21D75" w:rsidRDefault="00C21D75" w:rsidP="009864C1">
      <w:pPr>
        <w:pStyle w:val="ListParagraph"/>
        <w:spacing w:before="120" w:after="120"/>
        <w:ind w:left="142"/>
        <w:jc w:val="both"/>
        <w:rPr>
          <w:rFonts w:ascii="Arial" w:hAnsi="Arial" w:cs="Arial"/>
        </w:rPr>
      </w:pPr>
    </w:p>
    <w:p w14:paraId="57BF7F8E" w14:textId="77777777" w:rsidR="00C21D75" w:rsidRDefault="00C21D75" w:rsidP="009864C1">
      <w:pPr>
        <w:pStyle w:val="ListParagraph"/>
        <w:spacing w:before="120" w:after="120"/>
        <w:ind w:left="142"/>
        <w:jc w:val="both"/>
        <w:rPr>
          <w:rFonts w:ascii="Arial" w:hAnsi="Arial" w:cs="Arial"/>
        </w:rPr>
      </w:pPr>
    </w:p>
    <w:p w14:paraId="688D5222" w14:textId="77777777" w:rsidR="00C21D75" w:rsidRDefault="00C21D75" w:rsidP="009864C1">
      <w:pPr>
        <w:pStyle w:val="ListParagraph"/>
        <w:spacing w:before="120" w:after="120"/>
        <w:ind w:left="142"/>
        <w:jc w:val="both"/>
        <w:rPr>
          <w:rFonts w:ascii="Arial" w:hAnsi="Arial" w:cs="Arial"/>
        </w:rPr>
      </w:pPr>
    </w:p>
    <w:p w14:paraId="1094E39B" w14:textId="77777777" w:rsidR="00C21D75" w:rsidRDefault="00C21D75" w:rsidP="009864C1">
      <w:pPr>
        <w:pStyle w:val="ListParagraph"/>
        <w:spacing w:before="120" w:after="120"/>
        <w:ind w:left="142"/>
        <w:jc w:val="both"/>
        <w:rPr>
          <w:rFonts w:ascii="Arial" w:hAnsi="Arial" w:cs="Arial"/>
        </w:rPr>
      </w:pPr>
    </w:p>
    <w:p w14:paraId="3AEC7173" w14:textId="77777777" w:rsidR="00C21D75" w:rsidRDefault="00C21D75" w:rsidP="009864C1">
      <w:pPr>
        <w:pStyle w:val="ListParagraph"/>
        <w:spacing w:before="120" w:after="120"/>
        <w:ind w:left="142"/>
        <w:jc w:val="both"/>
        <w:rPr>
          <w:rFonts w:ascii="Arial" w:hAnsi="Arial" w:cs="Arial"/>
        </w:rPr>
      </w:pPr>
    </w:p>
    <w:p w14:paraId="1BC90ED6" w14:textId="77777777" w:rsidR="00C21D75" w:rsidRPr="000A5771" w:rsidRDefault="00C21D75" w:rsidP="009864C1">
      <w:pPr>
        <w:pStyle w:val="ListParagraph"/>
        <w:spacing w:before="120" w:after="120"/>
        <w:ind w:left="142"/>
        <w:jc w:val="both"/>
        <w:rPr>
          <w:rFonts w:ascii="Arial" w:hAnsi="Arial" w:cs="Arial"/>
        </w:rPr>
      </w:pPr>
    </w:p>
    <w:p w14:paraId="204C363F" w14:textId="77777777" w:rsidR="00994DB5" w:rsidRPr="000A5771" w:rsidRDefault="00994DB5" w:rsidP="009864C1">
      <w:pPr>
        <w:pStyle w:val="ListParagraph"/>
        <w:spacing w:before="120" w:after="120"/>
        <w:ind w:left="142"/>
        <w:jc w:val="both"/>
        <w:rPr>
          <w:rFonts w:ascii="Arial" w:hAnsi="Arial" w:cs="Arial"/>
        </w:rPr>
      </w:pPr>
    </w:p>
    <w:p w14:paraId="26C9DC24" w14:textId="77777777" w:rsidR="009864C1" w:rsidRPr="000A5771" w:rsidRDefault="009864C1" w:rsidP="00DB4FD4">
      <w:pPr>
        <w:pStyle w:val="ListParagraph"/>
        <w:numPr>
          <w:ilvl w:val="0"/>
          <w:numId w:val="4"/>
        </w:numPr>
        <w:spacing w:before="120" w:after="120"/>
        <w:ind w:left="142"/>
        <w:jc w:val="both"/>
        <w:rPr>
          <w:rFonts w:ascii="Arial" w:hAnsi="Arial" w:cs="Arial"/>
        </w:rPr>
      </w:pPr>
      <w:r w:rsidRPr="000A5771">
        <w:rPr>
          <w:rFonts w:ascii="Arial" w:hAnsi="Arial" w:cs="Arial"/>
          <w:b/>
        </w:rPr>
        <w:t xml:space="preserve"> </w:t>
      </w:r>
      <w:r w:rsidRPr="000A5771">
        <w:rPr>
          <w:rFonts w:ascii="Arial" w:hAnsi="Arial" w:cs="Arial"/>
          <w:b/>
          <w:u w:val="single"/>
        </w:rPr>
        <w:t>Funding Concentration based on significant instrument / product</w:t>
      </w:r>
    </w:p>
    <w:tbl>
      <w:tblPr>
        <w:tblW w:w="9196" w:type="dxa"/>
        <w:tblInd w:w="113" w:type="dxa"/>
        <w:tblLook w:val="04A0" w:firstRow="1" w:lastRow="0" w:firstColumn="1" w:lastColumn="0" w:noHBand="0" w:noVBand="1"/>
      </w:tblPr>
      <w:tblGrid>
        <w:gridCol w:w="1170"/>
        <w:gridCol w:w="4238"/>
        <w:gridCol w:w="1940"/>
        <w:gridCol w:w="1848"/>
      </w:tblGrid>
      <w:tr w:rsidR="009864C1" w:rsidRPr="000A5771" w14:paraId="728118EA" w14:textId="77777777" w:rsidTr="0095343C">
        <w:trPr>
          <w:trHeight w:val="681"/>
        </w:trPr>
        <w:tc>
          <w:tcPr>
            <w:tcW w:w="117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290F0EF8" w14:textId="77777777" w:rsidR="009864C1" w:rsidRPr="000A5771" w:rsidRDefault="009864C1" w:rsidP="009864C1">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S</w:t>
            </w:r>
            <w:r w:rsidR="005160C8" w:rsidRPr="000A5771">
              <w:rPr>
                <w:rFonts w:ascii="Arial" w:eastAsia="Times New Roman" w:hAnsi="Arial" w:cs="Arial"/>
                <w:b/>
                <w:bCs/>
                <w:color w:val="000000"/>
                <w:lang w:val="en-IN" w:eastAsia="en-IN"/>
              </w:rPr>
              <w:t>r</w:t>
            </w:r>
            <w:r w:rsidRPr="000A5771">
              <w:rPr>
                <w:rFonts w:ascii="Arial" w:eastAsia="Times New Roman" w:hAnsi="Arial" w:cs="Arial"/>
                <w:b/>
                <w:bCs/>
                <w:color w:val="000000"/>
                <w:lang w:val="en-IN" w:eastAsia="en-IN"/>
              </w:rPr>
              <w:t>.</w:t>
            </w:r>
            <w:r w:rsidR="005160C8" w:rsidRPr="000A5771">
              <w:rPr>
                <w:rFonts w:ascii="Arial" w:eastAsia="Times New Roman" w:hAnsi="Arial" w:cs="Arial"/>
                <w:b/>
                <w:bCs/>
                <w:color w:val="000000"/>
                <w:lang w:val="en-IN" w:eastAsia="en-IN"/>
              </w:rPr>
              <w:t xml:space="preserve"> </w:t>
            </w:r>
            <w:r w:rsidRPr="000A5771">
              <w:rPr>
                <w:rFonts w:ascii="Arial" w:eastAsia="Times New Roman" w:hAnsi="Arial" w:cs="Arial"/>
                <w:b/>
                <w:bCs/>
                <w:color w:val="000000"/>
                <w:lang w:val="en-IN" w:eastAsia="en-IN"/>
              </w:rPr>
              <w:t>No.</w:t>
            </w:r>
          </w:p>
        </w:tc>
        <w:tc>
          <w:tcPr>
            <w:tcW w:w="4238" w:type="dxa"/>
            <w:tcBorders>
              <w:top w:val="single" w:sz="4" w:space="0" w:color="auto"/>
              <w:left w:val="nil"/>
              <w:bottom w:val="single" w:sz="4" w:space="0" w:color="auto"/>
              <w:right w:val="single" w:sz="4" w:space="0" w:color="auto"/>
            </w:tcBorders>
            <w:shd w:val="clear" w:color="000000" w:fill="E4DFEC"/>
            <w:vAlign w:val="center"/>
            <w:hideMark/>
          </w:tcPr>
          <w:p w14:paraId="41BE1B48" w14:textId="77777777" w:rsidR="009864C1" w:rsidRPr="000A5771" w:rsidRDefault="009864C1" w:rsidP="0095343C">
            <w:pPr>
              <w:spacing w:after="0" w:line="240" w:lineRule="auto"/>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Name of the product</w:t>
            </w:r>
          </w:p>
        </w:tc>
        <w:tc>
          <w:tcPr>
            <w:tcW w:w="1940" w:type="dxa"/>
            <w:tcBorders>
              <w:top w:val="single" w:sz="4" w:space="0" w:color="auto"/>
              <w:left w:val="nil"/>
              <w:bottom w:val="single" w:sz="4" w:space="0" w:color="auto"/>
              <w:right w:val="single" w:sz="4" w:space="0" w:color="auto"/>
            </w:tcBorders>
            <w:shd w:val="clear" w:color="000000" w:fill="E4DFEC"/>
            <w:vAlign w:val="center"/>
            <w:hideMark/>
          </w:tcPr>
          <w:p w14:paraId="3529752B" w14:textId="77777777" w:rsidR="009864C1" w:rsidRPr="000A5771" w:rsidRDefault="009864C1" w:rsidP="009864C1">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xml:space="preserve">Amount </w:t>
            </w:r>
            <w:r w:rsidR="005160C8" w:rsidRPr="000A5771">
              <w:rPr>
                <w:rFonts w:ascii="Arial" w:eastAsia="Times New Roman" w:hAnsi="Arial" w:cs="Arial"/>
                <w:b/>
                <w:bCs/>
                <w:color w:val="000000"/>
                <w:lang w:val="en-IN" w:eastAsia="en-IN"/>
              </w:rPr>
              <w:t xml:space="preserve">   </w:t>
            </w:r>
            <w:r w:rsidR="00430FEB" w:rsidRPr="000A5771">
              <w:rPr>
                <w:rFonts w:ascii="Arial" w:eastAsia="Times New Roman" w:hAnsi="Arial" w:cs="Arial"/>
                <w:b/>
                <w:bCs/>
                <w:color w:val="000000"/>
                <w:lang w:val="en-IN" w:eastAsia="en-IN"/>
              </w:rPr>
              <w:t xml:space="preserve">      </w:t>
            </w:r>
            <w:r w:rsidR="005160C8" w:rsidRPr="000A5771">
              <w:rPr>
                <w:rFonts w:ascii="Arial" w:eastAsia="Times New Roman" w:hAnsi="Arial" w:cs="Arial"/>
                <w:b/>
                <w:bCs/>
                <w:color w:val="000000"/>
                <w:lang w:val="en-IN" w:eastAsia="en-IN"/>
              </w:rPr>
              <w:t xml:space="preserve">  </w:t>
            </w:r>
            <w:r w:rsidRPr="000A5771">
              <w:rPr>
                <w:rFonts w:ascii="Arial" w:eastAsia="Times New Roman" w:hAnsi="Arial" w:cs="Arial"/>
                <w:b/>
                <w:bCs/>
                <w:color w:val="000000"/>
                <w:lang w:val="en-IN" w:eastAsia="en-IN"/>
              </w:rPr>
              <w:t>(</w:t>
            </w:r>
            <w:r w:rsidR="005160C8" w:rsidRPr="000A5771">
              <w:rPr>
                <w:rFonts w:ascii="Arial" w:hAnsi="Arial" w:cs="Arial"/>
                <w:b/>
                <w:bCs/>
                <w:color w:val="000000"/>
                <w:lang w:val="en-IN"/>
              </w:rPr>
              <w:t xml:space="preserve">₹ </w:t>
            </w:r>
            <w:r w:rsidRPr="000A5771">
              <w:rPr>
                <w:rFonts w:ascii="Arial" w:eastAsia="Times New Roman" w:hAnsi="Arial" w:cs="Arial"/>
                <w:b/>
                <w:bCs/>
                <w:color w:val="000000"/>
                <w:lang w:val="en-IN" w:eastAsia="en-IN"/>
              </w:rPr>
              <w:t>cr</w:t>
            </w:r>
            <w:r w:rsidR="005160C8" w:rsidRPr="000A5771">
              <w:rPr>
                <w:rFonts w:ascii="Arial" w:eastAsia="Times New Roman" w:hAnsi="Arial" w:cs="Arial"/>
                <w:b/>
                <w:bCs/>
                <w:color w:val="000000"/>
                <w:lang w:val="en-IN" w:eastAsia="en-IN"/>
              </w:rPr>
              <w:t>ore</w:t>
            </w:r>
            <w:r w:rsidRPr="000A5771">
              <w:rPr>
                <w:rFonts w:ascii="Arial" w:eastAsia="Times New Roman" w:hAnsi="Arial" w:cs="Arial"/>
                <w:b/>
                <w:bCs/>
                <w:color w:val="000000"/>
                <w:lang w:val="en-IN" w:eastAsia="en-IN"/>
              </w:rPr>
              <w:t>)</w:t>
            </w:r>
          </w:p>
        </w:tc>
        <w:tc>
          <w:tcPr>
            <w:tcW w:w="1848" w:type="dxa"/>
            <w:tcBorders>
              <w:top w:val="single" w:sz="4" w:space="0" w:color="auto"/>
              <w:left w:val="nil"/>
              <w:bottom w:val="single" w:sz="4" w:space="0" w:color="auto"/>
              <w:right w:val="single" w:sz="4" w:space="0" w:color="auto"/>
            </w:tcBorders>
            <w:shd w:val="clear" w:color="000000" w:fill="E4DFEC"/>
            <w:vAlign w:val="center"/>
            <w:hideMark/>
          </w:tcPr>
          <w:p w14:paraId="1280CE90" w14:textId="77777777" w:rsidR="009864C1" w:rsidRPr="000A5771" w:rsidRDefault="009864C1" w:rsidP="009864C1">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 of Total Liabilities</w:t>
            </w:r>
          </w:p>
        </w:tc>
      </w:tr>
      <w:tr w:rsidR="00994DB5" w:rsidRPr="000A5771" w14:paraId="5B66344C"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DA5C876"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w:t>
            </w:r>
          </w:p>
        </w:tc>
        <w:tc>
          <w:tcPr>
            <w:tcW w:w="4238" w:type="dxa"/>
            <w:tcBorders>
              <w:top w:val="nil"/>
              <w:left w:val="nil"/>
              <w:bottom w:val="single" w:sz="4" w:space="0" w:color="auto"/>
              <w:right w:val="single" w:sz="4" w:space="0" w:color="auto"/>
            </w:tcBorders>
            <w:shd w:val="clear" w:color="auto" w:fill="auto"/>
            <w:noWrap/>
            <w:vAlign w:val="bottom"/>
            <w:hideMark/>
          </w:tcPr>
          <w:p w14:paraId="3C082FA8"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Term Loans</w:t>
            </w:r>
          </w:p>
        </w:tc>
        <w:tc>
          <w:tcPr>
            <w:tcW w:w="1940" w:type="dxa"/>
            <w:tcBorders>
              <w:top w:val="nil"/>
              <w:left w:val="nil"/>
              <w:bottom w:val="single" w:sz="4" w:space="0" w:color="auto"/>
              <w:right w:val="single" w:sz="4" w:space="0" w:color="auto"/>
            </w:tcBorders>
            <w:shd w:val="clear" w:color="auto" w:fill="auto"/>
            <w:noWrap/>
            <w:vAlign w:val="bottom"/>
            <w:hideMark/>
          </w:tcPr>
          <w:p w14:paraId="2119233D" w14:textId="53DD843D" w:rsidR="00994DB5" w:rsidRPr="000A5771" w:rsidRDefault="00924C1B" w:rsidP="000213F4">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4A0A3C">
              <w:rPr>
                <w:rFonts w:ascii="Arial" w:eastAsia="Times New Roman" w:hAnsi="Arial" w:cs="Arial"/>
                <w:color w:val="000000"/>
                <w:lang w:val="en-IN" w:eastAsia="en-IN"/>
              </w:rPr>
              <w:t>5</w:t>
            </w:r>
            <w:r w:rsidR="00B00184">
              <w:rPr>
                <w:rFonts w:ascii="Arial" w:eastAsia="Times New Roman" w:hAnsi="Arial" w:cs="Arial"/>
                <w:color w:val="000000"/>
                <w:lang w:val="en-IN" w:eastAsia="en-IN"/>
              </w:rPr>
              <w:t>,</w:t>
            </w:r>
            <w:r w:rsidR="004A0A3C">
              <w:rPr>
                <w:rFonts w:ascii="Arial" w:eastAsia="Times New Roman" w:hAnsi="Arial" w:cs="Arial"/>
                <w:color w:val="000000"/>
                <w:lang w:val="en-IN" w:eastAsia="en-IN"/>
              </w:rPr>
              <w:t>02</w:t>
            </w:r>
            <w:r w:rsidR="00B00184">
              <w:rPr>
                <w:rFonts w:ascii="Arial" w:eastAsia="Times New Roman" w:hAnsi="Arial" w:cs="Arial"/>
                <w:color w:val="000000"/>
                <w:lang w:val="en-IN" w:eastAsia="en-IN"/>
              </w:rPr>
              <w:t>5</w:t>
            </w:r>
          </w:p>
        </w:tc>
        <w:tc>
          <w:tcPr>
            <w:tcW w:w="1848" w:type="dxa"/>
            <w:tcBorders>
              <w:top w:val="nil"/>
              <w:left w:val="nil"/>
              <w:bottom w:val="single" w:sz="4" w:space="0" w:color="auto"/>
              <w:right w:val="single" w:sz="4" w:space="0" w:color="auto"/>
            </w:tcBorders>
            <w:shd w:val="clear" w:color="auto" w:fill="auto"/>
            <w:noWrap/>
            <w:vAlign w:val="bottom"/>
            <w:hideMark/>
          </w:tcPr>
          <w:p w14:paraId="5C69A184" w14:textId="19464BD3" w:rsidR="00994DB5" w:rsidRPr="000A5771" w:rsidRDefault="00B00184"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w:t>
            </w:r>
            <w:r w:rsidR="004A0A3C">
              <w:rPr>
                <w:rFonts w:ascii="Arial" w:eastAsia="Times New Roman" w:hAnsi="Arial" w:cs="Arial"/>
                <w:color w:val="000000"/>
                <w:lang w:val="en-IN" w:eastAsia="en-IN"/>
              </w:rPr>
              <w:t>2</w:t>
            </w:r>
            <w:r w:rsidR="00BB37FA" w:rsidRPr="000A5771">
              <w:rPr>
                <w:rFonts w:ascii="Arial" w:eastAsia="Times New Roman" w:hAnsi="Arial" w:cs="Arial"/>
                <w:color w:val="000000"/>
                <w:lang w:val="en-IN" w:eastAsia="en-IN"/>
              </w:rPr>
              <w:t>%</w:t>
            </w:r>
          </w:p>
        </w:tc>
      </w:tr>
      <w:tr w:rsidR="00994DB5" w:rsidRPr="000A5771" w14:paraId="1D228D3D"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AF11E4C"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p>
        </w:tc>
        <w:tc>
          <w:tcPr>
            <w:tcW w:w="4238" w:type="dxa"/>
            <w:tcBorders>
              <w:top w:val="nil"/>
              <w:left w:val="nil"/>
              <w:bottom w:val="single" w:sz="4" w:space="0" w:color="auto"/>
              <w:right w:val="single" w:sz="4" w:space="0" w:color="auto"/>
            </w:tcBorders>
            <w:shd w:val="clear" w:color="auto" w:fill="auto"/>
            <w:noWrap/>
            <w:vAlign w:val="bottom"/>
            <w:hideMark/>
          </w:tcPr>
          <w:p w14:paraId="0F244FE2"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Private Non-Convertible Debentures</w:t>
            </w:r>
          </w:p>
        </w:tc>
        <w:tc>
          <w:tcPr>
            <w:tcW w:w="1940" w:type="dxa"/>
            <w:tcBorders>
              <w:top w:val="nil"/>
              <w:left w:val="nil"/>
              <w:bottom w:val="single" w:sz="4" w:space="0" w:color="auto"/>
              <w:right w:val="single" w:sz="4" w:space="0" w:color="auto"/>
            </w:tcBorders>
            <w:shd w:val="clear" w:color="auto" w:fill="auto"/>
            <w:noWrap/>
            <w:vAlign w:val="bottom"/>
            <w:hideMark/>
          </w:tcPr>
          <w:p w14:paraId="7F1957C1" w14:textId="4C2F32B9" w:rsidR="00994DB5" w:rsidRPr="000A5771" w:rsidRDefault="00BB6E04" w:rsidP="000213F4">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4A0A3C">
              <w:rPr>
                <w:rFonts w:ascii="Arial" w:eastAsia="Times New Roman" w:hAnsi="Arial" w:cs="Arial"/>
                <w:color w:val="000000"/>
                <w:lang w:val="en-IN" w:eastAsia="en-IN"/>
              </w:rPr>
              <w:t>1</w:t>
            </w:r>
            <w:r w:rsidR="00B00184">
              <w:rPr>
                <w:rFonts w:ascii="Arial" w:eastAsia="Times New Roman" w:hAnsi="Arial" w:cs="Arial"/>
                <w:color w:val="000000"/>
                <w:lang w:val="en-IN" w:eastAsia="en-IN"/>
              </w:rPr>
              <w:t>,</w:t>
            </w:r>
            <w:r w:rsidR="004A0A3C">
              <w:rPr>
                <w:rFonts w:ascii="Arial" w:eastAsia="Times New Roman" w:hAnsi="Arial" w:cs="Arial"/>
                <w:color w:val="000000"/>
                <w:lang w:val="en-IN" w:eastAsia="en-IN"/>
              </w:rPr>
              <w:t>80</w:t>
            </w:r>
            <w:r w:rsidR="00D3410E">
              <w:rPr>
                <w:rFonts w:ascii="Arial" w:eastAsia="Times New Roman" w:hAnsi="Arial" w:cs="Arial"/>
                <w:color w:val="000000"/>
                <w:lang w:val="en-IN" w:eastAsia="en-IN"/>
              </w:rPr>
              <w:t>1</w:t>
            </w:r>
          </w:p>
        </w:tc>
        <w:tc>
          <w:tcPr>
            <w:tcW w:w="1848" w:type="dxa"/>
            <w:tcBorders>
              <w:top w:val="nil"/>
              <w:left w:val="nil"/>
              <w:bottom w:val="single" w:sz="4" w:space="0" w:color="auto"/>
              <w:right w:val="single" w:sz="4" w:space="0" w:color="auto"/>
            </w:tcBorders>
            <w:shd w:val="clear" w:color="auto" w:fill="auto"/>
            <w:noWrap/>
            <w:vAlign w:val="bottom"/>
            <w:hideMark/>
          </w:tcPr>
          <w:p w14:paraId="0A489255" w14:textId="3A2DD4BE" w:rsidR="00994DB5" w:rsidRPr="000A5771" w:rsidRDefault="00B00184"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2</w:t>
            </w:r>
            <w:r w:rsidR="004A0A3C">
              <w:rPr>
                <w:rFonts w:ascii="Arial" w:eastAsia="Times New Roman" w:hAnsi="Arial" w:cs="Arial"/>
                <w:color w:val="000000"/>
                <w:lang w:val="en-IN" w:eastAsia="en-IN"/>
              </w:rPr>
              <w:t>8</w:t>
            </w:r>
            <w:r w:rsidR="00BB6E04" w:rsidRPr="000A5771">
              <w:rPr>
                <w:rFonts w:ascii="Arial" w:eastAsia="Times New Roman" w:hAnsi="Arial" w:cs="Arial"/>
                <w:color w:val="000000"/>
                <w:lang w:val="en-IN" w:eastAsia="en-IN"/>
              </w:rPr>
              <w:t>%</w:t>
            </w:r>
          </w:p>
        </w:tc>
      </w:tr>
      <w:tr w:rsidR="00994DB5" w:rsidRPr="000A5771" w14:paraId="31A5EBAD"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1912624"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3</w:t>
            </w:r>
          </w:p>
        </w:tc>
        <w:tc>
          <w:tcPr>
            <w:tcW w:w="4238" w:type="dxa"/>
            <w:tcBorders>
              <w:top w:val="nil"/>
              <w:left w:val="nil"/>
              <w:bottom w:val="single" w:sz="4" w:space="0" w:color="auto"/>
              <w:right w:val="single" w:sz="4" w:space="0" w:color="auto"/>
            </w:tcBorders>
            <w:shd w:val="clear" w:color="auto" w:fill="auto"/>
            <w:noWrap/>
            <w:vAlign w:val="bottom"/>
            <w:hideMark/>
          </w:tcPr>
          <w:p w14:paraId="487109C5"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 xml:space="preserve">Working Capital Bank Lines </w:t>
            </w:r>
          </w:p>
        </w:tc>
        <w:tc>
          <w:tcPr>
            <w:tcW w:w="1940" w:type="dxa"/>
            <w:tcBorders>
              <w:top w:val="nil"/>
              <w:left w:val="nil"/>
              <w:bottom w:val="single" w:sz="4" w:space="0" w:color="auto"/>
              <w:right w:val="single" w:sz="4" w:space="0" w:color="auto"/>
            </w:tcBorders>
            <w:shd w:val="clear" w:color="auto" w:fill="auto"/>
            <w:noWrap/>
            <w:vAlign w:val="bottom"/>
            <w:hideMark/>
          </w:tcPr>
          <w:p w14:paraId="3390AA7A" w14:textId="0AA480D3" w:rsidR="00994DB5" w:rsidRPr="000A5771" w:rsidRDefault="00BB6E04"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w:t>
            </w:r>
            <w:r w:rsidR="004A0A3C">
              <w:rPr>
                <w:rFonts w:ascii="Arial" w:eastAsia="Times New Roman" w:hAnsi="Arial" w:cs="Arial"/>
                <w:color w:val="000000"/>
                <w:lang w:val="en-IN" w:eastAsia="en-IN"/>
              </w:rPr>
              <w:t>4</w:t>
            </w:r>
            <w:r w:rsidR="00B00184">
              <w:rPr>
                <w:rFonts w:ascii="Arial" w:eastAsia="Times New Roman" w:hAnsi="Arial" w:cs="Arial"/>
                <w:color w:val="000000"/>
                <w:lang w:val="en-IN" w:eastAsia="en-IN"/>
              </w:rPr>
              <w:t>,</w:t>
            </w:r>
            <w:r w:rsidR="00EC56C8">
              <w:rPr>
                <w:rFonts w:ascii="Arial" w:eastAsia="Times New Roman" w:hAnsi="Arial" w:cs="Arial"/>
                <w:color w:val="000000"/>
                <w:lang w:val="en-IN" w:eastAsia="en-IN"/>
              </w:rPr>
              <w:t>723</w:t>
            </w:r>
          </w:p>
        </w:tc>
        <w:tc>
          <w:tcPr>
            <w:tcW w:w="1848" w:type="dxa"/>
            <w:tcBorders>
              <w:top w:val="nil"/>
              <w:left w:val="nil"/>
              <w:bottom w:val="single" w:sz="4" w:space="0" w:color="auto"/>
              <w:right w:val="single" w:sz="4" w:space="0" w:color="auto"/>
            </w:tcBorders>
            <w:shd w:val="clear" w:color="auto" w:fill="auto"/>
            <w:noWrap/>
            <w:vAlign w:val="bottom"/>
            <w:hideMark/>
          </w:tcPr>
          <w:p w14:paraId="4FE8D0FA" w14:textId="7D88913A" w:rsidR="00994DB5" w:rsidRPr="000A5771" w:rsidRDefault="000213F4"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w:t>
            </w:r>
            <w:r w:rsidR="004A0A3C">
              <w:rPr>
                <w:rFonts w:ascii="Arial" w:eastAsia="Times New Roman" w:hAnsi="Arial" w:cs="Arial"/>
                <w:color w:val="000000"/>
                <w:lang w:val="en-IN" w:eastAsia="en-IN"/>
              </w:rPr>
              <w:t>9</w:t>
            </w:r>
            <w:r w:rsidR="00BB6E04" w:rsidRPr="000A5771">
              <w:rPr>
                <w:rFonts w:ascii="Arial" w:eastAsia="Times New Roman" w:hAnsi="Arial" w:cs="Arial"/>
                <w:color w:val="000000"/>
                <w:lang w:val="en-IN" w:eastAsia="en-IN"/>
              </w:rPr>
              <w:t>%</w:t>
            </w:r>
          </w:p>
        </w:tc>
      </w:tr>
      <w:tr w:rsidR="00994DB5" w:rsidRPr="000A5771" w14:paraId="537F78B5"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54F120E"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4</w:t>
            </w:r>
          </w:p>
        </w:tc>
        <w:tc>
          <w:tcPr>
            <w:tcW w:w="4238" w:type="dxa"/>
            <w:tcBorders>
              <w:top w:val="nil"/>
              <w:left w:val="nil"/>
              <w:bottom w:val="single" w:sz="4" w:space="0" w:color="auto"/>
              <w:right w:val="single" w:sz="4" w:space="0" w:color="auto"/>
            </w:tcBorders>
            <w:shd w:val="clear" w:color="auto" w:fill="auto"/>
            <w:noWrap/>
            <w:vAlign w:val="bottom"/>
            <w:hideMark/>
          </w:tcPr>
          <w:p w14:paraId="0574847F"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Commercial Papers</w:t>
            </w:r>
          </w:p>
        </w:tc>
        <w:tc>
          <w:tcPr>
            <w:tcW w:w="1940" w:type="dxa"/>
            <w:tcBorders>
              <w:top w:val="nil"/>
              <w:left w:val="nil"/>
              <w:bottom w:val="single" w:sz="4" w:space="0" w:color="auto"/>
              <w:right w:val="single" w:sz="4" w:space="0" w:color="auto"/>
            </w:tcBorders>
            <w:shd w:val="clear" w:color="auto" w:fill="auto"/>
            <w:noWrap/>
            <w:vAlign w:val="bottom"/>
            <w:hideMark/>
          </w:tcPr>
          <w:p w14:paraId="620BB4B5" w14:textId="4E6133F5" w:rsidR="00B00184" w:rsidRPr="000A5771" w:rsidRDefault="004A0A3C" w:rsidP="00B00184">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w:t>
            </w:r>
            <w:r w:rsidR="00B00184">
              <w:rPr>
                <w:rFonts w:ascii="Arial" w:eastAsia="Times New Roman" w:hAnsi="Arial" w:cs="Arial"/>
                <w:color w:val="000000"/>
                <w:lang w:val="en-IN" w:eastAsia="en-IN"/>
              </w:rPr>
              <w:t>,</w:t>
            </w:r>
            <w:r>
              <w:rPr>
                <w:rFonts w:ascii="Arial" w:eastAsia="Times New Roman" w:hAnsi="Arial" w:cs="Arial"/>
                <w:color w:val="000000"/>
                <w:lang w:val="en-IN" w:eastAsia="en-IN"/>
              </w:rPr>
              <w:t>44</w:t>
            </w:r>
            <w:r w:rsidR="00B00184">
              <w:rPr>
                <w:rFonts w:ascii="Arial" w:eastAsia="Times New Roman" w:hAnsi="Arial" w:cs="Arial"/>
                <w:color w:val="000000"/>
                <w:lang w:val="en-IN" w:eastAsia="en-IN"/>
              </w:rPr>
              <w:t>0</w:t>
            </w:r>
          </w:p>
        </w:tc>
        <w:tc>
          <w:tcPr>
            <w:tcW w:w="1848" w:type="dxa"/>
            <w:tcBorders>
              <w:top w:val="nil"/>
              <w:left w:val="nil"/>
              <w:bottom w:val="single" w:sz="4" w:space="0" w:color="auto"/>
              <w:right w:val="single" w:sz="4" w:space="0" w:color="auto"/>
            </w:tcBorders>
            <w:shd w:val="clear" w:color="auto" w:fill="auto"/>
            <w:noWrap/>
            <w:vAlign w:val="bottom"/>
            <w:hideMark/>
          </w:tcPr>
          <w:p w14:paraId="762062E9" w14:textId="30BD5432" w:rsidR="00994DB5" w:rsidRPr="000A5771" w:rsidRDefault="004A0A3C"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4</w:t>
            </w:r>
            <w:r w:rsidR="00BB37FA" w:rsidRPr="000A5771">
              <w:rPr>
                <w:rFonts w:ascii="Arial" w:eastAsia="Times New Roman" w:hAnsi="Arial" w:cs="Arial"/>
                <w:color w:val="000000"/>
                <w:lang w:val="en-IN" w:eastAsia="en-IN"/>
              </w:rPr>
              <w:t>%</w:t>
            </w:r>
          </w:p>
        </w:tc>
      </w:tr>
      <w:tr w:rsidR="00994DB5" w:rsidRPr="000A5771" w14:paraId="6A61CE6C"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C469F87"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5</w:t>
            </w:r>
          </w:p>
        </w:tc>
        <w:tc>
          <w:tcPr>
            <w:tcW w:w="4238" w:type="dxa"/>
            <w:tcBorders>
              <w:top w:val="nil"/>
              <w:left w:val="nil"/>
              <w:bottom w:val="single" w:sz="4" w:space="0" w:color="auto"/>
              <w:right w:val="single" w:sz="4" w:space="0" w:color="auto"/>
            </w:tcBorders>
            <w:shd w:val="clear" w:color="auto" w:fill="auto"/>
            <w:noWrap/>
            <w:vAlign w:val="bottom"/>
            <w:hideMark/>
          </w:tcPr>
          <w:p w14:paraId="1C62EDD7"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Public Non-Convertible Debentures</w:t>
            </w:r>
          </w:p>
        </w:tc>
        <w:tc>
          <w:tcPr>
            <w:tcW w:w="1940" w:type="dxa"/>
            <w:tcBorders>
              <w:top w:val="nil"/>
              <w:left w:val="nil"/>
              <w:bottom w:val="single" w:sz="4" w:space="0" w:color="auto"/>
              <w:right w:val="single" w:sz="4" w:space="0" w:color="auto"/>
            </w:tcBorders>
            <w:shd w:val="clear" w:color="auto" w:fill="auto"/>
            <w:noWrap/>
            <w:vAlign w:val="bottom"/>
            <w:hideMark/>
          </w:tcPr>
          <w:p w14:paraId="1A4B04E2" w14:textId="312354CC" w:rsidR="00994DB5" w:rsidRPr="000A5771" w:rsidRDefault="00BB6E04"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0213F4" w:rsidRPr="000A5771">
              <w:rPr>
                <w:rFonts w:ascii="Arial" w:eastAsia="Times New Roman" w:hAnsi="Arial" w:cs="Arial"/>
                <w:color w:val="000000"/>
                <w:lang w:val="en-IN" w:eastAsia="en-IN"/>
              </w:rPr>
              <w:t>079</w:t>
            </w:r>
          </w:p>
        </w:tc>
        <w:tc>
          <w:tcPr>
            <w:tcW w:w="1848" w:type="dxa"/>
            <w:tcBorders>
              <w:top w:val="nil"/>
              <w:left w:val="nil"/>
              <w:bottom w:val="single" w:sz="4" w:space="0" w:color="auto"/>
              <w:right w:val="single" w:sz="4" w:space="0" w:color="auto"/>
            </w:tcBorders>
            <w:shd w:val="clear" w:color="auto" w:fill="auto"/>
            <w:noWrap/>
            <w:vAlign w:val="bottom"/>
            <w:hideMark/>
          </w:tcPr>
          <w:p w14:paraId="4B071948" w14:textId="2B579BA1" w:rsidR="00994DB5" w:rsidRPr="000A5771" w:rsidRDefault="004A0A3C"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w:t>
            </w:r>
            <w:r w:rsidR="00BB6E04" w:rsidRPr="000A5771">
              <w:rPr>
                <w:rFonts w:ascii="Arial" w:eastAsia="Times New Roman" w:hAnsi="Arial" w:cs="Arial"/>
                <w:color w:val="000000"/>
                <w:lang w:val="en-IN" w:eastAsia="en-IN"/>
              </w:rPr>
              <w:t>%</w:t>
            </w:r>
          </w:p>
        </w:tc>
      </w:tr>
      <w:tr w:rsidR="00994DB5" w:rsidRPr="000A5771" w14:paraId="7C403C51"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538FB52"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6</w:t>
            </w:r>
          </w:p>
        </w:tc>
        <w:tc>
          <w:tcPr>
            <w:tcW w:w="4238" w:type="dxa"/>
            <w:tcBorders>
              <w:top w:val="nil"/>
              <w:left w:val="nil"/>
              <w:bottom w:val="single" w:sz="4" w:space="0" w:color="auto"/>
              <w:right w:val="single" w:sz="4" w:space="0" w:color="auto"/>
            </w:tcBorders>
            <w:shd w:val="clear" w:color="auto" w:fill="auto"/>
            <w:noWrap/>
            <w:vAlign w:val="bottom"/>
            <w:hideMark/>
          </w:tcPr>
          <w:p w14:paraId="360E5CD2"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External Commercial Borrowings</w:t>
            </w:r>
          </w:p>
        </w:tc>
        <w:tc>
          <w:tcPr>
            <w:tcW w:w="1940" w:type="dxa"/>
            <w:tcBorders>
              <w:top w:val="nil"/>
              <w:left w:val="nil"/>
              <w:bottom w:val="single" w:sz="4" w:space="0" w:color="auto"/>
              <w:right w:val="single" w:sz="4" w:space="0" w:color="auto"/>
            </w:tcBorders>
            <w:shd w:val="clear" w:color="auto" w:fill="auto"/>
            <w:noWrap/>
            <w:vAlign w:val="bottom"/>
            <w:hideMark/>
          </w:tcPr>
          <w:p w14:paraId="600BAA92" w14:textId="3C9ECA06" w:rsidR="00994DB5" w:rsidRPr="000A5771" w:rsidRDefault="000213F4"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1,611</w:t>
            </w:r>
          </w:p>
        </w:tc>
        <w:tc>
          <w:tcPr>
            <w:tcW w:w="1848" w:type="dxa"/>
            <w:tcBorders>
              <w:top w:val="nil"/>
              <w:left w:val="nil"/>
              <w:bottom w:val="single" w:sz="4" w:space="0" w:color="auto"/>
              <w:right w:val="single" w:sz="4" w:space="0" w:color="auto"/>
            </w:tcBorders>
            <w:shd w:val="clear" w:color="auto" w:fill="auto"/>
            <w:noWrap/>
            <w:vAlign w:val="bottom"/>
            <w:hideMark/>
          </w:tcPr>
          <w:p w14:paraId="3A9B8B6A" w14:textId="18503990" w:rsidR="00994DB5" w:rsidRPr="000A5771" w:rsidRDefault="00924C1B"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BB6E04" w:rsidRPr="000A5771">
              <w:rPr>
                <w:rFonts w:ascii="Arial" w:eastAsia="Times New Roman" w:hAnsi="Arial" w:cs="Arial"/>
                <w:color w:val="000000"/>
                <w:lang w:val="en-IN" w:eastAsia="en-IN"/>
              </w:rPr>
              <w:t>%</w:t>
            </w:r>
          </w:p>
        </w:tc>
      </w:tr>
      <w:tr w:rsidR="00994DB5" w:rsidRPr="000A5771" w14:paraId="3069B821"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4756F553"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7</w:t>
            </w:r>
          </w:p>
        </w:tc>
        <w:tc>
          <w:tcPr>
            <w:tcW w:w="4238" w:type="dxa"/>
            <w:tcBorders>
              <w:top w:val="nil"/>
              <w:left w:val="nil"/>
              <w:bottom w:val="single" w:sz="4" w:space="0" w:color="auto"/>
              <w:right w:val="single" w:sz="4" w:space="0" w:color="auto"/>
            </w:tcBorders>
            <w:shd w:val="clear" w:color="auto" w:fill="auto"/>
            <w:noWrap/>
            <w:vAlign w:val="bottom"/>
          </w:tcPr>
          <w:p w14:paraId="6E0E3B67"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Inter Corporate Borrowings</w:t>
            </w:r>
          </w:p>
        </w:tc>
        <w:tc>
          <w:tcPr>
            <w:tcW w:w="1940" w:type="dxa"/>
            <w:tcBorders>
              <w:top w:val="nil"/>
              <w:left w:val="nil"/>
              <w:bottom w:val="single" w:sz="4" w:space="0" w:color="auto"/>
              <w:right w:val="single" w:sz="4" w:space="0" w:color="auto"/>
            </w:tcBorders>
            <w:shd w:val="clear" w:color="auto" w:fill="auto"/>
            <w:noWrap/>
            <w:vAlign w:val="bottom"/>
          </w:tcPr>
          <w:p w14:paraId="3309DED9" w14:textId="5C1B0C7F" w:rsidR="00994DB5" w:rsidRPr="000A5771" w:rsidRDefault="00B00184"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2,</w:t>
            </w:r>
            <w:r w:rsidR="00EF7321">
              <w:rPr>
                <w:rFonts w:ascii="Arial" w:eastAsia="Times New Roman" w:hAnsi="Arial" w:cs="Arial"/>
                <w:color w:val="000000"/>
                <w:lang w:val="en-IN" w:eastAsia="en-IN"/>
              </w:rPr>
              <w:t>567</w:t>
            </w:r>
          </w:p>
        </w:tc>
        <w:tc>
          <w:tcPr>
            <w:tcW w:w="1848" w:type="dxa"/>
            <w:tcBorders>
              <w:top w:val="nil"/>
              <w:left w:val="nil"/>
              <w:bottom w:val="single" w:sz="4" w:space="0" w:color="auto"/>
              <w:right w:val="single" w:sz="4" w:space="0" w:color="auto"/>
            </w:tcBorders>
            <w:shd w:val="clear" w:color="auto" w:fill="auto"/>
            <w:noWrap/>
            <w:vAlign w:val="bottom"/>
          </w:tcPr>
          <w:p w14:paraId="1CB6EB33" w14:textId="4E7D31F6" w:rsidR="00994DB5" w:rsidRPr="000A5771" w:rsidRDefault="00B00184" w:rsidP="00994DB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3</w:t>
            </w:r>
            <w:r w:rsidR="00994DB5" w:rsidRPr="000A5771">
              <w:rPr>
                <w:rFonts w:ascii="Arial" w:eastAsia="Times New Roman" w:hAnsi="Arial" w:cs="Arial"/>
                <w:color w:val="000000"/>
                <w:lang w:val="en-IN" w:eastAsia="en-IN"/>
              </w:rPr>
              <w:t>%</w:t>
            </w:r>
          </w:p>
        </w:tc>
      </w:tr>
      <w:tr w:rsidR="00994DB5" w:rsidRPr="000A5771" w14:paraId="334B08AE" w14:textId="77777777" w:rsidTr="0095343C">
        <w:trPr>
          <w:trHeight w:val="33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2C99118"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 </w:t>
            </w:r>
          </w:p>
        </w:tc>
        <w:tc>
          <w:tcPr>
            <w:tcW w:w="4238" w:type="dxa"/>
            <w:tcBorders>
              <w:top w:val="nil"/>
              <w:left w:val="nil"/>
              <w:bottom w:val="single" w:sz="4" w:space="0" w:color="auto"/>
              <w:right w:val="single" w:sz="4" w:space="0" w:color="auto"/>
            </w:tcBorders>
            <w:shd w:val="clear" w:color="auto" w:fill="auto"/>
            <w:noWrap/>
            <w:vAlign w:val="bottom"/>
            <w:hideMark/>
          </w:tcPr>
          <w:p w14:paraId="69D02E04" w14:textId="77777777" w:rsidR="00994DB5" w:rsidRPr="000A5771" w:rsidRDefault="00994DB5" w:rsidP="00994DB5">
            <w:pPr>
              <w:spacing w:after="0" w:line="240" w:lineRule="auto"/>
              <w:rPr>
                <w:rFonts w:ascii="Arial" w:eastAsia="Times New Roman" w:hAnsi="Arial" w:cs="Arial"/>
                <w:b/>
                <w:color w:val="000000"/>
                <w:lang w:val="en-IN" w:eastAsia="en-IN"/>
              </w:rPr>
            </w:pPr>
            <w:r w:rsidRPr="000A5771">
              <w:rPr>
                <w:rFonts w:ascii="Arial" w:eastAsia="Times New Roman" w:hAnsi="Arial" w:cs="Arial"/>
                <w:b/>
                <w:color w:val="000000"/>
                <w:lang w:val="en-IN" w:eastAsia="en-IN"/>
              </w:rPr>
              <w:t> Total</w:t>
            </w:r>
          </w:p>
        </w:tc>
        <w:tc>
          <w:tcPr>
            <w:tcW w:w="1940" w:type="dxa"/>
            <w:tcBorders>
              <w:top w:val="nil"/>
              <w:left w:val="nil"/>
              <w:bottom w:val="single" w:sz="4" w:space="0" w:color="auto"/>
              <w:right w:val="single" w:sz="4" w:space="0" w:color="auto"/>
            </w:tcBorders>
            <w:shd w:val="clear" w:color="auto" w:fill="auto"/>
            <w:noWrap/>
            <w:vAlign w:val="bottom"/>
            <w:hideMark/>
          </w:tcPr>
          <w:p w14:paraId="728249A9" w14:textId="020555D2" w:rsidR="00994DB5" w:rsidRPr="000A5771" w:rsidRDefault="004C51F1" w:rsidP="00222550">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val="en-IN" w:eastAsia="en-IN"/>
              </w:rPr>
              <w:t>71,245</w:t>
            </w:r>
          </w:p>
        </w:tc>
        <w:tc>
          <w:tcPr>
            <w:tcW w:w="1848" w:type="dxa"/>
            <w:tcBorders>
              <w:top w:val="nil"/>
              <w:left w:val="nil"/>
              <w:bottom w:val="single" w:sz="4" w:space="0" w:color="auto"/>
              <w:right w:val="single" w:sz="4" w:space="0" w:color="auto"/>
            </w:tcBorders>
            <w:shd w:val="clear" w:color="auto" w:fill="auto"/>
            <w:noWrap/>
            <w:vAlign w:val="bottom"/>
            <w:hideMark/>
          </w:tcPr>
          <w:p w14:paraId="0B50BC0D" w14:textId="0D0F1B1F" w:rsidR="00994DB5" w:rsidRPr="000A5771" w:rsidRDefault="004C51F1" w:rsidP="00222550">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val="en-IN" w:eastAsia="en-IN"/>
              </w:rPr>
              <w:t>91%</w:t>
            </w:r>
          </w:p>
        </w:tc>
      </w:tr>
    </w:tbl>
    <w:p w14:paraId="6098B966" w14:textId="77777777" w:rsidR="004632B4" w:rsidRPr="000A5771" w:rsidRDefault="004632B4" w:rsidP="00FE27A5">
      <w:pPr>
        <w:spacing w:before="120" w:after="120"/>
        <w:jc w:val="both"/>
        <w:rPr>
          <w:rFonts w:ascii="Arial" w:hAnsi="Arial" w:cs="Arial"/>
        </w:rPr>
      </w:pPr>
      <w:r w:rsidRPr="000A5771">
        <w:rPr>
          <w:rFonts w:ascii="Arial" w:hAnsi="Arial" w:cs="Arial"/>
        </w:rPr>
        <w:t>Note:</w:t>
      </w:r>
    </w:p>
    <w:p w14:paraId="5E0D751D" w14:textId="77777777" w:rsidR="00D61F1A" w:rsidRPr="000A5771" w:rsidRDefault="00D61F1A" w:rsidP="00C5440D">
      <w:pPr>
        <w:pStyle w:val="ListParagraph"/>
        <w:numPr>
          <w:ilvl w:val="0"/>
          <w:numId w:val="5"/>
        </w:numPr>
        <w:spacing w:before="120" w:after="120"/>
        <w:jc w:val="both"/>
        <w:rPr>
          <w:rFonts w:ascii="Arial" w:hAnsi="Arial" w:cs="Arial"/>
        </w:rPr>
      </w:pPr>
      <w:r w:rsidRPr="000A5771">
        <w:rPr>
          <w:rFonts w:ascii="Arial" w:hAnsi="Arial" w:cs="Arial"/>
        </w:rPr>
        <w:t>A "significant instrument/product" is defined as a single instrument/product of group of similar instruments/products which in aggregate amount to more than 1% of the NBFC-NDSI's, NBFC-Ds total liabilities and 10% for other non-deposit taking NBFCs</w:t>
      </w:r>
      <w:r w:rsidR="00730C56" w:rsidRPr="000A5771">
        <w:rPr>
          <w:rFonts w:ascii="Arial" w:hAnsi="Arial" w:cs="Arial"/>
        </w:rPr>
        <w:t>.</w:t>
      </w:r>
      <w:r w:rsidRPr="000A5771">
        <w:rPr>
          <w:rFonts w:ascii="Arial" w:hAnsi="Arial" w:cs="Arial"/>
          <w:sz w:val="20"/>
          <w:szCs w:val="20"/>
        </w:rPr>
        <w:t xml:space="preserve"> </w:t>
      </w:r>
      <w:r w:rsidRPr="000A5771">
        <w:rPr>
          <w:rFonts w:ascii="Arial" w:hAnsi="Arial" w:cs="Arial"/>
        </w:rPr>
        <w:t xml:space="preserve"> </w:t>
      </w:r>
    </w:p>
    <w:p w14:paraId="4552CB6D" w14:textId="77777777" w:rsidR="004632B4" w:rsidRPr="000A5771" w:rsidRDefault="00A3424B" w:rsidP="00C5440D">
      <w:pPr>
        <w:pStyle w:val="ListParagraph"/>
        <w:numPr>
          <w:ilvl w:val="0"/>
          <w:numId w:val="5"/>
        </w:numPr>
        <w:spacing w:before="120" w:after="120"/>
        <w:jc w:val="both"/>
        <w:rPr>
          <w:rFonts w:ascii="Arial" w:hAnsi="Arial" w:cs="Arial"/>
        </w:rPr>
      </w:pPr>
      <w:r w:rsidRPr="000A5771">
        <w:rPr>
          <w:rFonts w:ascii="Arial" w:hAnsi="Arial" w:cs="Arial"/>
        </w:rPr>
        <w:t>Total Liabilities has been computed as Total Assets less Equity share capital less Reserve &amp; Surplus and computed basis extant regulatory ALM guidelines</w:t>
      </w:r>
      <w:r w:rsidR="00430FEB" w:rsidRPr="000A5771">
        <w:rPr>
          <w:rFonts w:ascii="Arial" w:hAnsi="Arial" w:cs="Arial"/>
        </w:rPr>
        <w:t>.</w:t>
      </w:r>
    </w:p>
    <w:p w14:paraId="1452F209" w14:textId="77777777" w:rsidR="00C5440D" w:rsidRPr="000A5771" w:rsidRDefault="00C5440D" w:rsidP="00C5440D">
      <w:pPr>
        <w:pStyle w:val="ListParagraph"/>
        <w:spacing w:before="120" w:after="120"/>
        <w:ind w:left="915"/>
        <w:jc w:val="both"/>
        <w:rPr>
          <w:rFonts w:ascii="Arial" w:hAnsi="Arial" w:cs="Arial"/>
        </w:rPr>
      </w:pPr>
    </w:p>
    <w:p w14:paraId="4D1C0A27" w14:textId="77777777" w:rsidR="004632B4" w:rsidRPr="000A5771" w:rsidRDefault="004632B4" w:rsidP="00DB4FD4">
      <w:pPr>
        <w:pStyle w:val="ListParagraph"/>
        <w:numPr>
          <w:ilvl w:val="0"/>
          <w:numId w:val="4"/>
        </w:numPr>
        <w:spacing w:before="120" w:after="120"/>
        <w:ind w:left="142"/>
        <w:jc w:val="both"/>
        <w:rPr>
          <w:rFonts w:ascii="Arial" w:hAnsi="Arial" w:cs="Arial"/>
        </w:rPr>
      </w:pPr>
      <w:r w:rsidRPr="000A5771">
        <w:rPr>
          <w:rFonts w:ascii="Arial" w:hAnsi="Arial" w:cs="Arial"/>
          <w:b/>
        </w:rPr>
        <w:t xml:space="preserve"> </w:t>
      </w:r>
      <w:r w:rsidRPr="000A5771">
        <w:rPr>
          <w:rFonts w:ascii="Arial" w:hAnsi="Arial" w:cs="Arial"/>
          <w:b/>
          <w:u w:val="single"/>
        </w:rPr>
        <w:t xml:space="preserve">Stock </w:t>
      </w:r>
      <w:r w:rsidR="00A3424B" w:rsidRPr="000A5771">
        <w:rPr>
          <w:rFonts w:ascii="Arial" w:hAnsi="Arial" w:cs="Arial"/>
          <w:b/>
          <w:u w:val="single"/>
        </w:rPr>
        <w:t>Ratios</w:t>
      </w:r>
      <w:r w:rsidRPr="000A5771">
        <w:rPr>
          <w:rFonts w:ascii="Arial" w:hAnsi="Arial" w:cs="Arial"/>
          <w:b/>
          <w:u w:val="single"/>
        </w:rPr>
        <w:t>:</w:t>
      </w:r>
    </w:p>
    <w:tbl>
      <w:tblPr>
        <w:tblW w:w="9268" w:type="dxa"/>
        <w:tblInd w:w="113" w:type="dxa"/>
        <w:tblLook w:val="04A0" w:firstRow="1" w:lastRow="0" w:firstColumn="1" w:lastColumn="0" w:noHBand="0" w:noVBand="1"/>
      </w:tblPr>
      <w:tblGrid>
        <w:gridCol w:w="1085"/>
        <w:gridCol w:w="6402"/>
        <w:gridCol w:w="1781"/>
      </w:tblGrid>
      <w:tr w:rsidR="004632B4" w:rsidRPr="000A5771" w14:paraId="28897E34" w14:textId="77777777" w:rsidTr="0095343C">
        <w:trPr>
          <w:trHeight w:val="236"/>
        </w:trPr>
        <w:tc>
          <w:tcPr>
            <w:tcW w:w="1085"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7BE4D90" w14:textId="77777777" w:rsidR="004632B4" w:rsidRPr="000A5771" w:rsidRDefault="004632B4" w:rsidP="004632B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S</w:t>
            </w:r>
            <w:r w:rsidR="00A3424B" w:rsidRPr="000A5771">
              <w:rPr>
                <w:rFonts w:ascii="Arial" w:eastAsia="Times New Roman" w:hAnsi="Arial" w:cs="Arial"/>
                <w:b/>
                <w:bCs/>
                <w:color w:val="000000"/>
                <w:lang w:val="en-IN" w:eastAsia="en-IN"/>
              </w:rPr>
              <w:t>r</w:t>
            </w:r>
            <w:r w:rsidRPr="000A5771">
              <w:rPr>
                <w:rFonts w:ascii="Arial" w:eastAsia="Times New Roman" w:hAnsi="Arial" w:cs="Arial"/>
                <w:b/>
                <w:bCs/>
                <w:color w:val="000000"/>
                <w:lang w:val="en-IN" w:eastAsia="en-IN"/>
              </w:rPr>
              <w:t>.</w:t>
            </w:r>
            <w:r w:rsidR="00A3424B" w:rsidRPr="000A5771">
              <w:rPr>
                <w:rFonts w:ascii="Arial" w:eastAsia="Times New Roman" w:hAnsi="Arial" w:cs="Arial"/>
                <w:b/>
                <w:bCs/>
                <w:color w:val="000000"/>
                <w:lang w:val="en-IN" w:eastAsia="en-IN"/>
              </w:rPr>
              <w:t xml:space="preserve"> </w:t>
            </w:r>
            <w:r w:rsidRPr="000A5771">
              <w:rPr>
                <w:rFonts w:ascii="Arial" w:eastAsia="Times New Roman" w:hAnsi="Arial" w:cs="Arial"/>
                <w:b/>
                <w:bCs/>
                <w:color w:val="000000"/>
                <w:lang w:val="en-IN" w:eastAsia="en-IN"/>
              </w:rPr>
              <w:t>No.</w:t>
            </w:r>
          </w:p>
        </w:tc>
        <w:tc>
          <w:tcPr>
            <w:tcW w:w="6402" w:type="dxa"/>
            <w:tcBorders>
              <w:top w:val="single" w:sz="4" w:space="0" w:color="auto"/>
              <w:left w:val="nil"/>
              <w:bottom w:val="single" w:sz="4" w:space="0" w:color="auto"/>
              <w:right w:val="single" w:sz="4" w:space="0" w:color="auto"/>
            </w:tcBorders>
            <w:shd w:val="clear" w:color="000000" w:fill="E4DFEC"/>
            <w:vAlign w:val="center"/>
            <w:hideMark/>
          </w:tcPr>
          <w:p w14:paraId="6AB26D85" w14:textId="77777777" w:rsidR="004632B4" w:rsidRPr="000A5771" w:rsidRDefault="004632B4" w:rsidP="004632B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Stock Ratio</w:t>
            </w:r>
          </w:p>
        </w:tc>
        <w:tc>
          <w:tcPr>
            <w:tcW w:w="1781" w:type="dxa"/>
            <w:tcBorders>
              <w:top w:val="single" w:sz="4" w:space="0" w:color="auto"/>
              <w:left w:val="nil"/>
              <w:bottom w:val="single" w:sz="4" w:space="0" w:color="auto"/>
              <w:right w:val="single" w:sz="4" w:space="0" w:color="auto"/>
            </w:tcBorders>
            <w:shd w:val="clear" w:color="000000" w:fill="E4DFEC"/>
            <w:vAlign w:val="center"/>
            <w:hideMark/>
          </w:tcPr>
          <w:p w14:paraId="5A2069D9" w14:textId="77777777" w:rsidR="004632B4" w:rsidRPr="000A5771" w:rsidRDefault="004632B4" w:rsidP="004632B4">
            <w:pPr>
              <w:spacing w:after="0" w:line="240" w:lineRule="auto"/>
              <w:jc w:val="center"/>
              <w:rPr>
                <w:rFonts w:ascii="Arial" w:eastAsia="Times New Roman" w:hAnsi="Arial" w:cs="Arial"/>
                <w:b/>
                <w:bCs/>
                <w:color w:val="000000"/>
                <w:lang w:val="en-IN" w:eastAsia="en-IN"/>
              </w:rPr>
            </w:pPr>
            <w:r w:rsidRPr="000A5771">
              <w:rPr>
                <w:rFonts w:ascii="Arial" w:eastAsia="Times New Roman" w:hAnsi="Arial" w:cs="Arial"/>
                <w:b/>
                <w:bCs/>
                <w:color w:val="000000"/>
                <w:lang w:val="en-IN" w:eastAsia="en-IN"/>
              </w:rPr>
              <w:t>%</w:t>
            </w:r>
          </w:p>
        </w:tc>
      </w:tr>
      <w:tr w:rsidR="00994DB5" w:rsidRPr="000A5771" w14:paraId="14359830"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3DBB5899"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1</w:t>
            </w:r>
          </w:p>
        </w:tc>
        <w:tc>
          <w:tcPr>
            <w:tcW w:w="6402" w:type="dxa"/>
            <w:tcBorders>
              <w:top w:val="nil"/>
              <w:left w:val="nil"/>
              <w:bottom w:val="single" w:sz="4" w:space="0" w:color="auto"/>
              <w:right w:val="single" w:sz="4" w:space="0" w:color="auto"/>
            </w:tcBorders>
            <w:shd w:val="clear" w:color="auto" w:fill="auto"/>
            <w:noWrap/>
            <w:vAlign w:val="bottom"/>
            <w:hideMark/>
          </w:tcPr>
          <w:p w14:paraId="5742B8E7"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Commercial papers as a % of total liabilities</w:t>
            </w:r>
          </w:p>
        </w:tc>
        <w:tc>
          <w:tcPr>
            <w:tcW w:w="1781" w:type="dxa"/>
            <w:tcBorders>
              <w:top w:val="nil"/>
              <w:left w:val="nil"/>
              <w:bottom w:val="single" w:sz="4" w:space="0" w:color="auto"/>
              <w:right w:val="single" w:sz="4" w:space="0" w:color="auto"/>
            </w:tcBorders>
            <w:shd w:val="clear" w:color="auto" w:fill="auto"/>
            <w:noWrap/>
            <w:vAlign w:val="bottom"/>
            <w:hideMark/>
          </w:tcPr>
          <w:p w14:paraId="35BC4F29" w14:textId="4CF12455" w:rsidR="00994DB5" w:rsidRPr="000A5771" w:rsidRDefault="00EF7321" w:rsidP="0081287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4</w:t>
            </w:r>
            <w:r w:rsidR="00BB37FA" w:rsidRPr="000A5771">
              <w:rPr>
                <w:rFonts w:ascii="Arial" w:eastAsia="Times New Roman" w:hAnsi="Arial" w:cs="Arial"/>
                <w:color w:val="000000"/>
                <w:lang w:val="en-IN" w:eastAsia="en-IN"/>
              </w:rPr>
              <w:t>%</w:t>
            </w:r>
          </w:p>
        </w:tc>
      </w:tr>
      <w:tr w:rsidR="00994DB5" w:rsidRPr="000A5771" w14:paraId="1BEE2C5B"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71C1711" w14:textId="77777777" w:rsidR="00994DB5" w:rsidRPr="000A5771" w:rsidRDefault="00994DB5" w:rsidP="00994DB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p>
        </w:tc>
        <w:tc>
          <w:tcPr>
            <w:tcW w:w="6402" w:type="dxa"/>
            <w:tcBorders>
              <w:top w:val="nil"/>
              <w:left w:val="nil"/>
              <w:bottom w:val="single" w:sz="4" w:space="0" w:color="auto"/>
              <w:right w:val="single" w:sz="4" w:space="0" w:color="auto"/>
            </w:tcBorders>
            <w:shd w:val="clear" w:color="auto" w:fill="auto"/>
            <w:noWrap/>
            <w:vAlign w:val="bottom"/>
            <w:hideMark/>
          </w:tcPr>
          <w:p w14:paraId="3BADD8C5"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Commercial papers as a % of 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1761BF22" w14:textId="72AFFA05" w:rsidR="00994DB5" w:rsidRPr="000A5771" w:rsidRDefault="00EF7321" w:rsidP="00812875">
            <w:pPr>
              <w:spacing w:after="0" w:line="240" w:lineRule="auto"/>
              <w:jc w:val="center"/>
              <w:rPr>
                <w:rFonts w:ascii="Arial" w:eastAsia="Times New Roman" w:hAnsi="Arial" w:cs="Arial"/>
                <w:color w:val="000000"/>
                <w:lang w:val="en-IN" w:eastAsia="en-IN"/>
              </w:rPr>
            </w:pPr>
            <w:r>
              <w:rPr>
                <w:rFonts w:ascii="Arial" w:eastAsia="Times New Roman" w:hAnsi="Arial" w:cs="Arial"/>
                <w:color w:val="000000"/>
                <w:lang w:val="en-IN" w:eastAsia="en-IN"/>
              </w:rPr>
              <w:t>4</w:t>
            </w:r>
            <w:r w:rsidR="00994DB5" w:rsidRPr="000A5771">
              <w:rPr>
                <w:rFonts w:ascii="Arial" w:eastAsia="Times New Roman" w:hAnsi="Arial" w:cs="Arial"/>
                <w:color w:val="000000"/>
                <w:lang w:val="en-IN" w:eastAsia="en-IN"/>
              </w:rPr>
              <w:t>%</w:t>
            </w:r>
          </w:p>
        </w:tc>
      </w:tr>
      <w:tr w:rsidR="00994DB5" w:rsidRPr="000A5771" w14:paraId="0C6412AD"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1B2870F5" w14:textId="77777777" w:rsidR="00994DB5" w:rsidRPr="000A5771" w:rsidRDefault="00994DB5" w:rsidP="00994DB5">
            <w:pPr>
              <w:spacing w:after="0" w:line="240" w:lineRule="auto"/>
              <w:jc w:val="center"/>
              <w:rPr>
                <w:rFonts w:ascii="Arial" w:eastAsia="Times New Roman" w:hAnsi="Arial" w:cs="Arial"/>
                <w:lang w:val="en-IN" w:eastAsia="en-IN"/>
              </w:rPr>
            </w:pPr>
            <w:r w:rsidRPr="000A5771">
              <w:rPr>
                <w:rFonts w:ascii="Arial" w:eastAsia="Times New Roman" w:hAnsi="Arial" w:cs="Arial"/>
                <w:lang w:val="en-IN" w:eastAsia="en-IN"/>
              </w:rPr>
              <w:t>3</w:t>
            </w:r>
          </w:p>
        </w:tc>
        <w:tc>
          <w:tcPr>
            <w:tcW w:w="6402" w:type="dxa"/>
            <w:tcBorders>
              <w:top w:val="nil"/>
              <w:left w:val="nil"/>
              <w:bottom w:val="single" w:sz="4" w:space="0" w:color="auto"/>
              <w:right w:val="single" w:sz="4" w:space="0" w:color="auto"/>
            </w:tcBorders>
            <w:shd w:val="clear" w:color="auto" w:fill="auto"/>
            <w:noWrap/>
            <w:vAlign w:val="bottom"/>
            <w:hideMark/>
          </w:tcPr>
          <w:p w14:paraId="79822EEF" w14:textId="77777777" w:rsidR="00994DB5" w:rsidRPr="000A5771" w:rsidRDefault="00994DB5" w:rsidP="00994DB5">
            <w:pPr>
              <w:autoSpaceDE w:val="0"/>
              <w:autoSpaceDN w:val="0"/>
              <w:adjustRightInd w:val="0"/>
              <w:spacing w:after="0" w:line="240" w:lineRule="auto"/>
              <w:rPr>
                <w:rFonts w:ascii="Arial" w:hAnsi="Arial" w:cs="Arial"/>
                <w:color w:val="000000"/>
                <w:lang w:val="en-IN"/>
              </w:rPr>
            </w:pPr>
            <w:r w:rsidRPr="000A5771">
              <w:rPr>
                <w:rFonts w:ascii="Arial" w:hAnsi="Arial" w:cs="Arial"/>
                <w:color w:val="000000"/>
                <w:lang w:val="en-IN"/>
              </w:rPr>
              <w:t xml:space="preserve">Non-convertible debentures (original maturity of less than one year) as a % of </w:t>
            </w:r>
            <w:r w:rsidRPr="000A5771">
              <w:rPr>
                <w:rFonts w:ascii="Arial" w:eastAsia="Times New Roman" w:hAnsi="Arial" w:cs="Arial"/>
                <w:color w:val="000000"/>
                <w:lang w:val="en-IN" w:eastAsia="en-IN"/>
              </w:rPr>
              <w:t>total liabilities</w:t>
            </w:r>
            <w:r w:rsidRPr="000A5771" w:rsidDel="00A3424B">
              <w:rPr>
                <w:rFonts w:ascii="Arial" w:eastAsia="Times New Roman" w:hAnsi="Arial" w:cs="Arial"/>
                <w:color w:val="000000"/>
                <w:lang w:val="en-IN" w:eastAsia="en-IN"/>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14:paraId="124F6F0D" w14:textId="77777777" w:rsidR="00994DB5" w:rsidRPr="000A5771" w:rsidRDefault="00994DB5" w:rsidP="0081287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0%</w:t>
            </w:r>
          </w:p>
        </w:tc>
      </w:tr>
      <w:tr w:rsidR="00994DB5" w:rsidRPr="000A5771" w14:paraId="4CB72FAA"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762D3F3A" w14:textId="77777777" w:rsidR="00994DB5" w:rsidRPr="000A5771" w:rsidRDefault="00994DB5" w:rsidP="00994DB5">
            <w:pPr>
              <w:spacing w:after="0" w:line="240" w:lineRule="auto"/>
              <w:jc w:val="center"/>
              <w:rPr>
                <w:rFonts w:ascii="Arial" w:eastAsia="Times New Roman" w:hAnsi="Arial" w:cs="Arial"/>
                <w:lang w:val="en-IN" w:eastAsia="en-IN"/>
              </w:rPr>
            </w:pPr>
            <w:r w:rsidRPr="000A5771">
              <w:rPr>
                <w:rFonts w:ascii="Arial" w:eastAsia="Times New Roman" w:hAnsi="Arial" w:cs="Arial"/>
                <w:lang w:val="en-IN" w:eastAsia="en-IN"/>
              </w:rPr>
              <w:t>4</w:t>
            </w:r>
          </w:p>
        </w:tc>
        <w:tc>
          <w:tcPr>
            <w:tcW w:w="6402" w:type="dxa"/>
            <w:tcBorders>
              <w:top w:val="nil"/>
              <w:left w:val="nil"/>
              <w:bottom w:val="single" w:sz="4" w:space="0" w:color="auto"/>
              <w:right w:val="single" w:sz="4" w:space="0" w:color="auto"/>
            </w:tcBorders>
            <w:shd w:val="clear" w:color="auto" w:fill="auto"/>
            <w:noWrap/>
            <w:vAlign w:val="bottom"/>
            <w:hideMark/>
          </w:tcPr>
          <w:p w14:paraId="40DF7FBE"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hAnsi="Arial" w:cs="Arial"/>
                <w:color w:val="000000"/>
                <w:lang w:val="en-IN"/>
              </w:rPr>
              <w:t xml:space="preserve">Non-convertible debentures (original maturity of less than one year) as a % of </w:t>
            </w:r>
            <w:r w:rsidRPr="000A5771">
              <w:rPr>
                <w:rFonts w:ascii="Arial" w:eastAsia="Times New Roman" w:hAnsi="Arial" w:cs="Arial"/>
                <w:color w:val="000000"/>
                <w:lang w:val="en-IN" w:eastAsia="en-IN"/>
              </w:rPr>
              <w:t>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5934769C" w14:textId="77777777" w:rsidR="00994DB5" w:rsidRPr="000A5771" w:rsidRDefault="00994DB5" w:rsidP="0081287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0%</w:t>
            </w:r>
          </w:p>
        </w:tc>
      </w:tr>
      <w:tr w:rsidR="00994DB5" w:rsidRPr="000A5771" w14:paraId="06AFFBAC"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AAC634D" w14:textId="77777777" w:rsidR="00994DB5" w:rsidRPr="000A5771" w:rsidRDefault="00994DB5" w:rsidP="00994DB5">
            <w:pPr>
              <w:spacing w:after="0" w:line="240" w:lineRule="auto"/>
              <w:jc w:val="center"/>
              <w:rPr>
                <w:rFonts w:ascii="Arial" w:eastAsia="Times New Roman" w:hAnsi="Arial" w:cs="Arial"/>
                <w:lang w:val="en-IN" w:eastAsia="en-IN"/>
              </w:rPr>
            </w:pPr>
            <w:r w:rsidRPr="000A5771">
              <w:rPr>
                <w:rFonts w:ascii="Arial" w:eastAsia="Times New Roman" w:hAnsi="Arial" w:cs="Arial"/>
                <w:lang w:val="en-IN" w:eastAsia="en-IN"/>
              </w:rPr>
              <w:t>5</w:t>
            </w:r>
          </w:p>
        </w:tc>
        <w:tc>
          <w:tcPr>
            <w:tcW w:w="6402" w:type="dxa"/>
            <w:tcBorders>
              <w:top w:val="nil"/>
              <w:left w:val="nil"/>
              <w:bottom w:val="single" w:sz="4" w:space="0" w:color="auto"/>
              <w:right w:val="single" w:sz="4" w:space="0" w:color="auto"/>
            </w:tcBorders>
            <w:shd w:val="clear" w:color="auto" w:fill="auto"/>
            <w:noWrap/>
            <w:vAlign w:val="bottom"/>
            <w:hideMark/>
          </w:tcPr>
          <w:p w14:paraId="326A52F2"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Other short-term liabilities as a % of total liabilities</w:t>
            </w:r>
          </w:p>
        </w:tc>
        <w:tc>
          <w:tcPr>
            <w:tcW w:w="1781" w:type="dxa"/>
            <w:tcBorders>
              <w:top w:val="nil"/>
              <w:left w:val="nil"/>
              <w:bottom w:val="single" w:sz="4" w:space="0" w:color="auto"/>
              <w:right w:val="single" w:sz="4" w:space="0" w:color="auto"/>
            </w:tcBorders>
            <w:shd w:val="clear" w:color="auto" w:fill="auto"/>
            <w:noWrap/>
            <w:vAlign w:val="bottom"/>
            <w:hideMark/>
          </w:tcPr>
          <w:p w14:paraId="33FCDCD1" w14:textId="7677C513" w:rsidR="00994DB5" w:rsidRPr="000A5771" w:rsidRDefault="00924C1B" w:rsidP="002D0668">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EF7321">
              <w:rPr>
                <w:rFonts w:ascii="Arial" w:eastAsia="Times New Roman" w:hAnsi="Arial" w:cs="Arial"/>
                <w:color w:val="000000"/>
                <w:lang w:val="en-IN" w:eastAsia="en-IN"/>
              </w:rPr>
              <w:t>8</w:t>
            </w:r>
            <w:r w:rsidR="00BB37FA" w:rsidRPr="000A5771">
              <w:rPr>
                <w:rFonts w:ascii="Arial" w:eastAsia="Times New Roman" w:hAnsi="Arial" w:cs="Arial"/>
                <w:color w:val="000000"/>
                <w:lang w:val="en-IN" w:eastAsia="en-IN"/>
              </w:rPr>
              <w:t>%</w:t>
            </w:r>
          </w:p>
        </w:tc>
      </w:tr>
      <w:tr w:rsidR="00994DB5" w:rsidRPr="000A5771" w14:paraId="748C1656" w14:textId="77777777" w:rsidTr="0095343C">
        <w:trPr>
          <w:trHeight w:val="236"/>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28569C60" w14:textId="77777777" w:rsidR="00994DB5" w:rsidRPr="000A5771" w:rsidRDefault="00994DB5" w:rsidP="00994DB5">
            <w:pPr>
              <w:spacing w:after="0" w:line="240" w:lineRule="auto"/>
              <w:jc w:val="center"/>
              <w:rPr>
                <w:rFonts w:ascii="Arial" w:eastAsia="Times New Roman" w:hAnsi="Arial" w:cs="Arial"/>
                <w:lang w:val="en-IN" w:eastAsia="en-IN"/>
              </w:rPr>
            </w:pPr>
            <w:r w:rsidRPr="000A5771">
              <w:rPr>
                <w:rFonts w:ascii="Arial" w:eastAsia="Times New Roman" w:hAnsi="Arial" w:cs="Arial"/>
                <w:lang w:val="en-IN" w:eastAsia="en-IN"/>
              </w:rPr>
              <w:t>6</w:t>
            </w:r>
          </w:p>
        </w:tc>
        <w:tc>
          <w:tcPr>
            <w:tcW w:w="6402" w:type="dxa"/>
            <w:tcBorders>
              <w:top w:val="nil"/>
              <w:left w:val="nil"/>
              <w:bottom w:val="single" w:sz="4" w:space="0" w:color="auto"/>
              <w:right w:val="single" w:sz="4" w:space="0" w:color="auto"/>
            </w:tcBorders>
            <w:shd w:val="clear" w:color="auto" w:fill="auto"/>
            <w:noWrap/>
            <w:vAlign w:val="bottom"/>
            <w:hideMark/>
          </w:tcPr>
          <w:p w14:paraId="1DB9CCC5" w14:textId="77777777" w:rsidR="00994DB5" w:rsidRPr="000A5771" w:rsidRDefault="00994DB5" w:rsidP="00994DB5">
            <w:pPr>
              <w:spacing w:after="0" w:line="240" w:lineRule="auto"/>
              <w:rPr>
                <w:rFonts w:ascii="Arial" w:eastAsia="Times New Roman" w:hAnsi="Arial" w:cs="Arial"/>
                <w:color w:val="000000"/>
                <w:lang w:val="en-IN" w:eastAsia="en-IN"/>
              </w:rPr>
            </w:pPr>
            <w:r w:rsidRPr="000A5771">
              <w:rPr>
                <w:rFonts w:ascii="Arial" w:eastAsia="Times New Roman" w:hAnsi="Arial" w:cs="Arial"/>
                <w:color w:val="000000"/>
                <w:lang w:val="en-IN" w:eastAsia="en-IN"/>
              </w:rPr>
              <w:t>Other short-term liabilities as a % of total assets</w:t>
            </w:r>
          </w:p>
        </w:tc>
        <w:tc>
          <w:tcPr>
            <w:tcW w:w="1781" w:type="dxa"/>
            <w:tcBorders>
              <w:top w:val="nil"/>
              <w:left w:val="nil"/>
              <w:bottom w:val="single" w:sz="4" w:space="0" w:color="auto"/>
              <w:right w:val="single" w:sz="4" w:space="0" w:color="auto"/>
            </w:tcBorders>
            <w:shd w:val="clear" w:color="auto" w:fill="auto"/>
            <w:noWrap/>
            <w:vAlign w:val="bottom"/>
            <w:hideMark/>
          </w:tcPr>
          <w:p w14:paraId="7BF15663" w14:textId="1A04E0EA" w:rsidR="00994DB5" w:rsidRPr="000A5771" w:rsidRDefault="00BB37FA" w:rsidP="00812875">
            <w:pPr>
              <w:spacing w:after="0" w:line="240" w:lineRule="auto"/>
              <w:jc w:val="center"/>
              <w:rPr>
                <w:rFonts w:ascii="Arial" w:eastAsia="Times New Roman" w:hAnsi="Arial" w:cs="Arial"/>
                <w:color w:val="000000"/>
                <w:lang w:val="en-IN" w:eastAsia="en-IN"/>
              </w:rPr>
            </w:pPr>
            <w:r w:rsidRPr="000A5771">
              <w:rPr>
                <w:rFonts w:ascii="Arial" w:eastAsia="Times New Roman" w:hAnsi="Arial" w:cs="Arial"/>
                <w:color w:val="000000"/>
                <w:lang w:val="en-IN" w:eastAsia="en-IN"/>
              </w:rPr>
              <w:t>2</w:t>
            </w:r>
            <w:r w:rsidR="00D3410E">
              <w:rPr>
                <w:rFonts w:ascii="Arial" w:eastAsia="Times New Roman" w:hAnsi="Arial" w:cs="Arial"/>
                <w:color w:val="000000"/>
                <w:lang w:val="en-IN" w:eastAsia="en-IN"/>
              </w:rPr>
              <w:t>3</w:t>
            </w:r>
            <w:r w:rsidRPr="000A5771">
              <w:rPr>
                <w:rFonts w:ascii="Arial" w:eastAsia="Times New Roman" w:hAnsi="Arial" w:cs="Arial"/>
                <w:color w:val="000000"/>
                <w:lang w:val="en-IN" w:eastAsia="en-IN"/>
              </w:rPr>
              <w:t>%</w:t>
            </w:r>
          </w:p>
        </w:tc>
      </w:tr>
    </w:tbl>
    <w:p w14:paraId="3D41E38B" w14:textId="77777777" w:rsidR="004632B4" w:rsidRPr="000A5771" w:rsidRDefault="004632B4" w:rsidP="00FE27A5">
      <w:pPr>
        <w:spacing w:before="120" w:after="120"/>
        <w:jc w:val="both"/>
        <w:rPr>
          <w:rFonts w:ascii="Arial" w:hAnsi="Arial" w:cs="Arial"/>
        </w:rPr>
      </w:pPr>
      <w:r w:rsidRPr="000A5771">
        <w:rPr>
          <w:rFonts w:ascii="Arial" w:hAnsi="Arial" w:cs="Arial"/>
        </w:rPr>
        <w:t>Note:</w:t>
      </w:r>
    </w:p>
    <w:p w14:paraId="23C3208B" w14:textId="77777777" w:rsidR="004632B4" w:rsidRPr="000A5771" w:rsidRDefault="004632B4" w:rsidP="004632B4">
      <w:pPr>
        <w:pStyle w:val="ListParagraph"/>
        <w:numPr>
          <w:ilvl w:val="0"/>
          <w:numId w:val="5"/>
        </w:numPr>
        <w:spacing w:before="120" w:after="120"/>
        <w:jc w:val="both"/>
        <w:rPr>
          <w:rFonts w:ascii="Arial" w:hAnsi="Arial" w:cs="Arial"/>
        </w:rPr>
      </w:pPr>
      <w:r w:rsidRPr="000A5771">
        <w:rPr>
          <w:rFonts w:ascii="Arial" w:hAnsi="Arial" w:cs="Arial"/>
        </w:rPr>
        <w:t>C</w:t>
      </w:r>
      <w:r w:rsidR="00A3424B" w:rsidRPr="000A5771">
        <w:rPr>
          <w:rFonts w:ascii="Arial" w:hAnsi="Arial" w:cs="Arial"/>
        </w:rPr>
        <w:t xml:space="preserve">ommercial </w:t>
      </w:r>
      <w:r w:rsidRPr="000A5771">
        <w:rPr>
          <w:rFonts w:ascii="Arial" w:hAnsi="Arial" w:cs="Arial"/>
        </w:rPr>
        <w:t>P</w:t>
      </w:r>
      <w:r w:rsidR="00A3424B" w:rsidRPr="000A5771">
        <w:rPr>
          <w:rFonts w:ascii="Arial" w:hAnsi="Arial" w:cs="Arial"/>
        </w:rPr>
        <w:t>aper</w:t>
      </w:r>
      <w:r w:rsidRPr="000A5771">
        <w:rPr>
          <w:rFonts w:ascii="Arial" w:hAnsi="Arial" w:cs="Arial"/>
        </w:rPr>
        <w:t xml:space="preserve"> for stock ratio is </w:t>
      </w:r>
      <w:r w:rsidR="00A3424B" w:rsidRPr="000A5771">
        <w:rPr>
          <w:rFonts w:ascii="Arial" w:hAnsi="Arial" w:cs="Arial"/>
        </w:rPr>
        <w:t xml:space="preserve">the </w:t>
      </w:r>
      <w:r w:rsidRPr="000A5771">
        <w:rPr>
          <w:rFonts w:ascii="Arial" w:hAnsi="Arial" w:cs="Arial"/>
        </w:rPr>
        <w:t>Gross outstanding</w:t>
      </w:r>
      <w:r w:rsidR="00A3424B" w:rsidRPr="000A5771">
        <w:rPr>
          <w:rFonts w:ascii="Arial" w:hAnsi="Arial" w:cs="Arial"/>
        </w:rPr>
        <w:t xml:space="preserve"> (i.e. Maturity amount).</w:t>
      </w:r>
    </w:p>
    <w:p w14:paraId="0FC42E32" w14:textId="77777777" w:rsidR="004632B4" w:rsidRPr="000A5771" w:rsidRDefault="00B77F97" w:rsidP="004632B4">
      <w:pPr>
        <w:pStyle w:val="ListParagraph"/>
        <w:numPr>
          <w:ilvl w:val="0"/>
          <w:numId w:val="5"/>
        </w:numPr>
        <w:spacing w:before="120" w:after="120"/>
        <w:jc w:val="both"/>
        <w:rPr>
          <w:rFonts w:ascii="Arial" w:hAnsi="Arial" w:cs="Arial"/>
        </w:rPr>
      </w:pPr>
      <w:r w:rsidRPr="000A5771">
        <w:rPr>
          <w:rFonts w:ascii="Arial" w:hAnsi="Arial" w:cs="Arial"/>
        </w:rPr>
        <w:t>Other Short</w:t>
      </w:r>
      <w:r w:rsidR="00A3424B" w:rsidRPr="000A5771">
        <w:rPr>
          <w:rFonts w:ascii="Arial" w:hAnsi="Arial" w:cs="Arial"/>
        </w:rPr>
        <w:t>-t</w:t>
      </w:r>
      <w:r w:rsidRPr="000A5771">
        <w:rPr>
          <w:rFonts w:ascii="Arial" w:hAnsi="Arial" w:cs="Arial"/>
        </w:rPr>
        <w:t>erm Liabilities has been computed as</w:t>
      </w:r>
      <w:r w:rsidR="004632B4" w:rsidRPr="000A5771">
        <w:rPr>
          <w:rFonts w:ascii="Arial" w:hAnsi="Arial" w:cs="Arial"/>
        </w:rPr>
        <w:t xml:space="preserve"> Total Short</w:t>
      </w:r>
      <w:r w:rsidR="00A3424B" w:rsidRPr="000A5771">
        <w:rPr>
          <w:rFonts w:ascii="Arial" w:hAnsi="Arial" w:cs="Arial"/>
        </w:rPr>
        <w:t>-t</w:t>
      </w:r>
      <w:r w:rsidRPr="000A5771">
        <w:rPr>
          <w:rFonts w:ascii="Arial" w:hAnsi="Arial" w:cs="Arial"/>
        </w:rPr>
        <w:t xml:space="preserve">erm Liabilities less </w:t>
      </w:r>
      <w:r w:rsidR="00A3424B" w:rsidRPr="000A5771">
        <w:rPr>
          <w:rFonts w:ascii="Arial" w:hAnsi="Arial" w:cs="Arial"/>
        </w:rPr>
        <w:t xml:space="preserve">Commercial paper </w:t>
      </w:r>
      <w:r w:rsidRPr="000A5771">
        <w:rPr>
          <w:rFonts w:ascii="Arial" w:hAnsi="Arial" w:cs="Arial"/>
        </w:rPr>
        <w:t>less</w:t>
      </w:r>
      <w:r w:rsidR="004632B4" w:rsidRPr="000A5771">
        <w:rPr>
          <w:rFonts w:ascii="Arial" w:hAnsi="Arial" w:cs="Arial"/>
        </w:rPr>
        <w:t xml:space="preserve"> N</w:t>
      </w:r>
      <w:r w:rsidR="00A3424B" w:rsidRPr="000A5771">
        <w:rPr>
          <w:rFonts w:ascii="Arial" w:hAnsi="Arial" w:cs="Arial"/>
        </w:rPr>
        <w:t>on-convertible debentures</w:t>
      </w:r>
      <w:r w:rsidR="004632B4" w:rsidRPr="000A5771">
        <w:rPr>
          <w:rFonts w:ascii="Arial" w:hAnsi="Arial" w:cs="Arial"/>
        </w:rPr>
        <w:t xml:space="preserve"> (Original maturity </w:t>
      </w:r>
      <w:r w:rsidR="00A3424B" w:rsidRPr="000A5771">
        <w:rPr>
          <w:rFonts w:ascii="Arial" w:hAnsi="Arial" w:cs="Arial"/>
        </w:rPr>
        <w:t xml:space="preserve">of </w:t>
      </w:r>
      <w:r w:rsidR="004632B4" w:rsidRPr="000A5771">
        <w:rPr>
          <w:rFonts w:ascii="Arial" w:hAnsi="Arial" w:cs="Arial"/>
        </w:rPr>
        <w:t xml:space="preserve">less than </w:t>
      </w:r>
      <w:r w:rsidR="00A3424B" w:rsidRPr="000A5771">
        <w:rPr>
          <w:rFonts w:ascii="Arial" w:hAnsi="Arial" w:cs="Arial"/>
        </w:rPr>
        <w:t xml:space="preserve">one </w:t>
      </w:r>
      <w:r w:rsidR="004632B4" w:rsidRPr="000A5771">
        <w:rPr>
          <w:rFonts w:ascii="Arial" w:hAnsi="Arial" w:cs="Arial"/>
        </w:rPr>
        <w:t>y</w:t>
      </w:r>
      <w:r w:rsidR="00A3424B" w:rsidRPr="000A5771">
        <w:rPr>
          <w:rFonts w:ascii="Arial" w:hAnsi="Arial" w:cs="Arial"/>
        </w:rPr>
        <w:t>ear</w:t>
      </w:r>
      <w:r w:rsidR="004632B4" w:rsidRPr="000A5771">
        <w:rPr>
          <w:rFonts w:ascii="Arial" w:hAnsi="Arial" w:cs="Arial"/>
        </w:rPr>
        <w:t>), basis extant regulatory ALM guidelines</w:t>
      </w:r>
      <w:r w:rsidR="00A3424B" w:rsidRPr="000A5771">
        <w:rPr>
          <w:rFonts w:ascii="Arial" w:hAnsi="Arial" w:cs="Arial"/>
        </w:rPr>
        <w:t>.</w:t>
      </w:r>
    </w:p>
    <w:p w14:paraId="742CE264" w14:textId="77777777" w:rsidR="004632B4" w:rsidRPr="000A5771" w:rsidRDefault="004632B4" w:rsidP="004632B4">
      <w:pPr>
        <w:pStyle w:val="ListParagraph"/>
        <w:spacing w:before="120" w:after="120"/>
        <w:ind w:left="915"/>
        <w:jc w:val="both"/>
        <w:rPr>
          <w:rFonts w:ascii="Arial" w:hAnsi="Arial" w:cs="Arial"/>
        </w:rPr>
      </w:pPr>
    </w:p>
    <w:p w14:paraId="78F6194D" w14:textId="77777777" w:rsidR="00513D0C" w:rsidRPr="000A5771" w:rsidRDefault="002F17A9" w:rsidP="00DB4FD4">
      <w:pPr>
        <w:pStyle w:val="ListParagraph"/>
        <w:numPr>
          <w:ilvl w:val="0"/>
          <w:numId w:val="4"/>
        </w:numPr>
        <w:spacing w:before="120" w:after="120"/>
        <w:ind w:left="142"/>
        <w:jc w:val="both"/>
        <w:rPr>
          <w:rFonts w:ascii="Arial" w:hAnsi="Arial" w:cs="Arial"/>
        </w:rPr>
      </w:pPr>
      <w:r w:rsidRPr="000A5771">
        <w:rPr>
          <w:rFonts w:ascii="Arial" w:hAnsi="Arial" w:cs="Arial"/>
          <w:b/>
          <w:u w:val="single"/>
        </w:rPr>
        <w:t>Institutional set-up for Liquidity Risk Management</w:t>
      </w:r>
    </w:p>
    <w:p w14:paraId="14358C4C" w14:textId="21F271E3" w:rsidR="000A5771" w:rsidRDefault="0076489E" w:rsidP="00BB3B16">
      <w:pPr>
        <w:spacing w:before="120" w:after="120"/>
        <w:jc w:val="both"/>
        <w:rPr>
          <w:rFonts w:ascii="Arial" w:hAnsi="Arial" w:cs="Arial"/>
        </w:rPr>
      </w:pPr>
      <w:r w:rsidRPr="000A5771">
        <w:rPr>
          <w:rFonts w:ascii="Arial" w:hAnsi="Arial" w:cs="Arial"/>
        </w:rPr>
        <w:t xml:space="preserve">The Board of Directors of the Company has an overall responsibility and oversight for the management of all the risks, including liquidity risk, to which the Company is exposed to in the course of conducting its business. The Board approves the governance structure, policies, </w:t>
      </w:r>
      <w:r w:rsidRPr="000A5771">
        <w:rPr>
          <w:rFonts w:ascii="Arial" w:hAnsi="Arial" w:cs="Arial"/>
        </w:rPr>
        <w:lastRenderedPageBreak/>
        <w:t>strategy and the risk limits for the management of liquidity risk. The Board of Directors approves the constitution of the Risk Management Committee (RMC) for the effective supervision, evaluation, monitoring and review of various aspects and types of risks, including liquidity risk, faced by the Company. The meetings of RMC are held at quarterly interval. Further, the Board of Directors also approves constitution of Asset Liability Committee (ALCO), which functions as the strategic decision-making body for the asset-liability management of the Company from risk-return perspective and within the risk appetite and guard-rails approved by the Board. The main objective of ALCO is to assist the Board and RMC in effective discharge of the responsibilities of asset-liability management, market risk management, liquidity and interest rate risk management and also to ensure adherence to risk tolerance/limits set up by the Board. ALCO provides guidance and directions in terms of interest rate, liquidity, funding sources, and investment of surplus funds. ALCO meetings are held once in a month or more frequently as warranted from time to time. The minutes of ALCO meetings are placed before the RMC and the Board of Directors in its next meeting for its perusal/approval/ratification.</w:t>
      </w:r>
    </w:p>
    <w:p w14:paraId="6D07D07A" w14:textId="77777777" w:rsidR="000A5771" w:rsidRDefault="000A5771">
      <w:pPr>
        <w:rPr>
          <w:rFonts w:ascii="Arial" w:hAnsi="Arial" w:cs="Arial"/>
        </w:rPr>
      </w:pPr>
      <w:r>
        <w:rPr>
          <w:rFonts w:ascii="Arial" w:hAnsi="Arial" w:cs="Arial"/>
        </w:rPr>
        <w:br w:type="page"/>
      </w:r>
    </w:p>
    <w:p w14:paraId="6553F3AF" w14:textId="77777777" w:rsidR="000A0053" w:rsidRPr="000A5771" w:rsidRDefault="000A0053" w:rsidP="000A5771">
      <w:pPr>
        <w:pStyle w:val="ListParagraph"/>
        <w:numPr>
          <w:ilvl w:val="0"/>
          <w:numId w:val="4"/>
        </w:numPr>
        <w:spacing w:before="120" w:after="120"/>
        <w:ind w:left="0" w:firstLine="0"/>
        <w:jc w:val="both"/>
        <w:rPr>
          <w:rFonts w:ascii="Arial" w:hAnsi="Arial" w:cs="Arial"/>
        </w:rPr>
      </w:pPr>
      <w:r w:rsidRPr="000A5771">
        <w:rPr>
          <w:rFonts w:ascii="Arial" w:hAnsi="Arial" w:cs="Arial"/>
          <w:b/>
          <w:u w:val="single"/>
        </w:rPr>
        <w:lastRenderedPageBreak/>
        <w:t>Disclosure on Liquidity Coverage Ratio</w:t>
      </w:r>
    </w:p>
    <w:p w14:paraId="60B863A1" w14:textId="77777777" w:rsidR="000A0053" w:rsidRPr="000A5771" w:rsidRDefault="000A0053" w:rsidP="000A0053">
      <w:pPr>
        <w:autoSpaceDE w:val="0"/>
        <w:autoSpaceDN w:val="0"/>
        <w:adjustRightInd w:val="0"/>
        <w:spacing w:after="0" w:line="240" w:lineRule="auto"/>
        <w:rPr>
          <w:rFonts w:ascii="Arial" w:hAnsi="Arial" w:cs="Arial"/>
          <w:b/>
          <w:bCs/>
          <w:color w:val="000000"/>
          <w:u w:val="single"/>
          <w:lang w:val="en-IN"/>
        </w:rPr>
      </w:pPr>
      <w:r w:rsidRPr="000A5771">
        <w:rPr>
          <w:rFonts w:ascii="Arial" w:hAnsi="Arial" w:cs="Arial"/>
          <w:b/>
          <w:bCs/>
          <w:color w:val="000000"/>
          <w:u w:val="single"/>
          <w:lang w:val="en-IN"/>
        </w:rPr>
        <w:t>Background:</w:t>
      </w:r>
    </w:p>
    <w:p w14:paraId="1CD2F646" w14:textId="77777777" w:rsidR="000A0053" w:rsidRPr="000A5771" w:rsidRDefault="000A0053" w:rsidP="000A0053">
      <w:pPr>
        <w:autoSpaceDE w:val="0"/>
        <w:autoSpaceDN w:val="0"/>
        <w:adjustRightInd w:val="0"/>
        <w:spacing w:after="0" w:line="240" w:lineRule="auto"/>
        <w:rPr>
          <w:rFonts w:ascii="Arial" w:hAnsi="Arial" w:cs="Arial"/>
          <w:color w:val="000000"/>
          <w:lang w:val="en-IN"/>
        </w:rPr>
      </w:pPr>
    </w:p>
    <w:p w14:paraId="643EACA6" w14:textId="77777777" w:rsidR="000A0053" w:rsidRPr="000A5771" w:rsidRDefault="000A0053" w:rsidP="000A0053">
      <w:pPr>
        <w:pStyle w:val="Default"/>
        <w:jc w:val="both"/>
        <w:rPr>
          <w:sz w:val="22"/>
          <w:szCs w:val="22"/>
        </w:rPr>
      </w:pPr>
      <w:r w:rsidRPr="000A5771">
        <w:rPr>
          <w:sz w:val="22"/>
          <w:szCs w:val="22"/>
        </w:rPr>
        <w:t>RBI has issued final guidelines on Liquidity Risk Management Framework for Non-Banking Financial Companies and Core Investment Companies on November 04, 2019. As per the said guidelines, LCR requirement shall be binding on all non-deposit taking systemically important NBFCs with asset size of ₹ 10,000 crore and above from December 1, 2020, with the minimum LCR to be 50%, progressively increasing, till it reaches the required level of 100%, by December 1, 2024, as per the time-line given below:</w:t>
      </w:r>
    </w:p>
    <w:p w14:paraId="5372589C" w14:textId="77777777" w:rsidR="000A0053" w:rsidRPr="000A5771" w:rsidRDefault="000A0053" w:rsidP="000A0053">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411"/>
        <w:gridCol w:w="1633"/>
        <w:gridCol w:w="1633"/>
        <w:gridCol w:w="1633"/>
        <w:gridCol w:w="1633"/>
        <w:gridCol w:w="1633"/>
      </w:tblGrid>
      <w:tr w:rsidR="000A0053" w:rsidRPr="000A5771" w14:paraId="3EF80BD5" w14:textId="77777777" w:rsidTr="008D743B">
        <w:tc>
          <w:tcPr>
            <w:tcW w:w="0" w:type="auto"/>
          </w:tcPr>
          <w:p w14:paraId="64BE3F9F" w14:textId="77777777" w:rsidR="000A0053" w:rsidRPr="000A5771" w:rsidRDefault="000A0053" w:rsidP="008D743B">
            <w:pPr>
              <w:jc w:val="center"/>
              <w:rPr>
                <w:rFonts w:ascii="Arial" w:hAnsi="Arial" w:cs="Arial"/>
                <w:b/>
              </w:rPr>
            </w:pPr>
            <w:r w:rsidRPr="000A5771">
              <w:rPr>
                <w:rFonts w:ascii="Arial" w:hAnsi="Arial" w:cs="Arial"/>
                <w:b/>
              </w:rPr>
              <w:t>From</w:t>
            </w:r>
          </w:p>
        </w:tc>
        <w:tc>
          <w:tcPr>
            <w:tcW w:w="0" w:type="auto"/>
          </w:tcPr>
          <w:p w14:paraId="719BA6A1" w14:textId="77777777" w:rsidR="000A0053" w:rsidRPr="000A5771" w:rsidRDefault="000A0053" w:rsidP="008D743B">
            <w:pPr>
              <w:jc w:val="center"/>
              <w:rPr>
                <w:rFonts w:ascii="Arial" w:hAnsi="Arial" w:cs="Arial"/>
                <w:b/>
              </w:rPr>
            </w:pPr>
            <w:r w:rsidRPr="000A5771">
              <w:rPr>
                <w:rFonts w:ascii="Arial" w:hAnsi="Arial" w:cs="Arial"/>
                <w:b/>
              </w:rPr>
              <w:t>December 1, 2020</w:t>
            </w:r>
          </w:p>
        </w:tc>
        <w:tc>
          <w:tcPr>
            <w:tcW w:w="0" w:type="auto"/>
          </w:tcPr>
          <w:p w14:paraId="7B544F98" w14:textId="77777777" w:rsidR="000A0053" w:rsidRPr="000A5771" w:rsidRDefault="000A0053" w:rsidP="008D743B">
            <w:pPr>
              <w:jc w:val="center"/>
              <w:rPr>
                <w:rFonts w:ascii="Arial" w:hAnsi="Arial" w:cs="Arial"/>
                <w:b/>
              </w:rPr>
            </w:pPr>
            <w:r w:rsidRPr="000A5771">
              <w:rPr>
                <w:rFonts w:ascii="Arial" w:hAnsi="Arial" w:cs="Arial"/>
                <w:b/>
              </w:rPr>
              <w:t>December 1, 2021</w:t>
            </w:r>
          </w:p>
        </w:tc>
        <w:tc>
          <w:tcPr>
            <w:tcW w:w="0" w:type="auto"/>
          </w:tcPr>
          <w:p w14:paraId="6C7E63A4" w14:textId="77777777" w:rsidR="000A0053" w:rsidRPr="000A5771" w:rsidRDefault="000A0053" w:rsidP="008D743B">
            <w:pPr>
              <w:jc w:val="center"/>
              <w:rPr>
                <w:rFonts w:ascii="Arial" w:hAnsi="Arial" w:cs="Arial"/>
                <w:b/>
              </w:rPr>
            </w:pPr>
            <w:r w:rsidRPr="000A5771">
              <w:rPr>
                <w:rFonts w:ascii="Arial" w:hAnsi="Arial" w:cs="Arial"/>
                <w:b/>
              </w:rPr>
              <w:t>December 1, 2022</w:t>
            </w:r>
          </w:p>
        </w:tc>
        <w:tc>
          <w:tcPr>
            <w:tcW w:w="0" w:type="auto"/>
          </w:tcPr>
          <w:p w14:paraId="47C17A4C" w14:textId="77777777" w:rsidR="000A0053" w:rsidRPr="000A5771" w:rsidRDefault="000A0053" w:rsidP="008D743B">
            <w:pPr>
              <w:jc w:val="center"/>
              <w:rPr>
                <w:rFonts w:ascii="Arial" w:hAnsi="Arial" w:cs="Arial"/>
                <w:b/>
              </w:rPr>
            </w:pPr>
            <w:r w:rsidRPr="000A5771">
              <w:rPr>
                <w:rFonts w:ascii="Arial" w:hAnsi="Arial" w:cs="Arial"/>
                <w:b/>
              </w:rPr>
              <w:t>December 1, 2023</w:t>
            </w:r>
          </w:p>
        </w:tc>
        <w:tc>
          <w:tcPr>
            <w:tcW w:w="0" w:type="auto"/>
          </w:tcPr>
          <w:p w14:paraId="647D88DA" w14:textId="77777777" w:rsidR="000A0053" w:rsidRPr="000A5771" w:rsidRDefault="000A0053" w:rsidP="008D743B">
            <w:pPr>
              <w:jc w:val="center"/>
              <w:rPr>
                <w:rFonts w:ascii="Arial" w:hAnsi="Arial" w:cs="Arial"/>
                <w:b/>
              </w:rPr>
            </w:pPr>
            <w:r w:rsidRPr="000A5771">
              <w:rPr>
                <w:rFonts w:ascii="Arial" w:hAnsi="Arial" w:cs="Arial"/>
                <w:b/>
              </w:rPr>
              <w:t>December 1, 2024</w:t>
            </w:r>
          </w:p>
        </w:tc>
      </w:tr>
      <w:tr w:rsidR="000A0053" w:rsidRPr="000A5771" w14:paraId="7E19E568" w14:textId="77777777" w:rsidTr="008D743B">
        <w:tc>
          <w:tcPr>
            <w:tcW w:w="0" w:type="auto"/>
          </w:tcPr>
          <w:p w14:paraId="4CEAAECA" w14:textId="77777777" w:rsidR="000A0053" w:rsidRPr="000A5771" w:rsidRDefault="000A0053" w:rsidP="008D743B">
            <w:pPr>
              <w:jc w:val="center"/>
              <w:rPr>
                <w:rFonts w:ascii="Arial" w:hAnsi="Arial" w:cs="Arial"/>
                <w:b/>
              </w:rPr>
            </w:pPr>
            <w:r w:rsidRPr="000A5771">
              <w:rPr>
                <w:rFonts w:ascii="Arial" w:hAnsi="Arial" w:cs="Arial"/>
                <w:b/>
              </w:rPr>
              <w:t>Minimum LCR</w:t>
            </w:r>
          </w:p>
        </w:tc>
        <w:tc>
          <w:tcPr>
            <w:tcW w:w="0" w:type="auto"/>
          </w:tcPr>
          <w:p w14:paraId="62404F00" w14:textId="77777777" w:rsidR="000A0053" w:rsidRPr="000A5771" w:rsidRDefault="000A0053" w:rsidP="008D743B">
            <w:pPr>
              <w:jc w:val="center"/>
              <w:rPr>
                <w:rFonts w:ascii="Arial" w:hAnsi="Arial" w:cs="Arial"/>
                <w:b/>
              </w:rPr>
            </w:pPr>
            <w:r w:rsidRPr="000A5771">
              <w:rPr>
                <w:rFonts w:ascii="Arial" w:hAnsi="Arial" w:cs="Arial"/>
                <w:b/>
              </w:rPr>
              <w:t>50%</w:t>
            </w:r>
          </w:p>
        </w:tc>
        <w:tc>
          <w:tcPr>
            <w:tcW w:w="0" w:type="auto"/>
          </w:tcPr>
          <w:p w14:paraId="5823A81D" w14:textId="77777777" w:rsidR="000A0053" w:rsidRPr="000A5771" w:rsidRDefault="000A0053" w:rsidP="008D743B">
            <w:pPr>
              <w:jc w:val="center"/>
              <w:rPr>
                <w:rFonts w:ascii="Arial" w:hAnsi="Arial" w:cs="Arial"/>
                <w:b/>
              </w:rPr>
            </w:pPr>
            <w:r w:rsidRPr="000A5771">
              <w:rPr>
                <w:rFonts w:ascii="Arial" w:hAnsi="Arial" w:cs="Arial"/>
                <w:b/>
              </w:rPr>
              <w:t>60%</w:t>
            </w:r>
          </w:p>
        </w:tc>
        <w:tc>
          <w:tcPr>
            <w:tcW w:w="0" w:type="auto"/>
          </w:tcPr>
          <w:p w14:paraId="6AF536B3" w14:textId="77777777" w:rsidR="000A0053" w:rsidRPr="000A5771" w:rsidRDefault="000A0053" w:rsidP="008D743B">
            <w:pPr>
              <w:jc w:val="center"/>
              <w:rPr>
                <w:rFonts w:ascii="Arial" w:hAnsi="Arial" w:cs="Arial"/>
                <w:b/>
              </w:rPr>
            </w:pPr>
            <w:r w:rsidRPr="000A5771">
              <w:rPr>
                <w:rFonts w:ascii="Arial" w:hAnsi="Arial" w:cs="Arial"/>
                <w:b/>
              </w:rPr>
              <w:t>70%</w:t>
            </w:r>
          </w:p>
        </w:tc>
        <w:tc>
          <w:tcPr>
            <w:tcW w:w="0" w:type="auto"/>
          </w:tcPr>
          <w:p w14:paraId="5C406CE2" w14:textId="77777777" w:rsidR="000A0053" w:rsidRPr="000A5771" w:rsidRDefault="000A0053" w:rsidP="008D743B">
            <w:pPr>
              <w:jc w:val="center"/>
              <w:rPr>
                <w:rFonts w:ascii="Arial" w:hAnsi="Arial" w:cs="Arial"/>
                <w:b/>
              </w:rPr>
            </w:pPr>
            <w:r w:rsidRPr="000A5771">
              <w:rPr>
                <w:rFonts w:ascii="Arial" w:hAnsi="Arial" w:cs="Arial"/>
                <w:b/>
              </w:rPr>
              <w:t>85%</w:t>
            </w:r>
          </w:p>
        </w:tc>
        <w:tc>
          <w:tcPr>
            <w:tcW w:w="0" w:type="auto"/>
          </w:tcPr>
          <w:p w14:paraId="2E9DFDAF" w14:textId="77777777" w:rsidR="000A0053" w:rsidRPr="000A5771" w:rsidRDefault="000A0053" w:rsidP="008D743B">
            <w:pPr>
              <w:jc w:val="center"/>
              <w:rPr>
                <w:rFonts w:ascii="Arial" w:hAnsi="Arial" w:cs="Arial"/>
                <w:b/>
              </w:rPr>
            </w:pPr>
            <w:r w:rsidRPr="000A5771">
              <w:rPr>
                <w:rFonts w:ascii="Arial" w:hAnsi="Arial" w:cs="Arial"/>
                <w:b/>
              </w:rPr>
              <w:t>100%</w:t>
            </w:r>
          </w:p>
        </w:tc>
      </w:tr>
    </w:tbl>
    <w:p w14:paraId="4282C7E2" w14:textId="77777777" w:rsidR="000A0053" w:rsidRPr="000A5771" w:rsidRDefault="000A0053" w:rsidP="000A0053">
      <w:pPr>
        <w:pStyle w:val="Default"/>
        <w:jc w:val="both"/>
        <w:rPr>
          <w:sz w:val="22"/>
          <w:szCs w:val="22"/>
        </w:rPr>
      </w:pPr>
    </w:p>
    <w:p w14:paraId="2E3B01BE" w14:textId="44ADE2AE" w:rsidR="000A0053" w:rsidRPr="000A5771" w:rsidRDefault="000A0053" w:rsidP="000A0053">
      <w:pPr>
        <w:pStyle w:val="Default"/>
        <w:jc w:val="both"/>
        <w:rPr>
          <w:sz w:val="22"/>
          <w:szCs w:val="22"/>
        </w:rPr>
      </w:pPr>
      <w:r w:rsidRPr="000A5771">
        <w:rPr>
          <w:sz w:val="22"/>
          <w:szCs w:val="22"/>
        </w:rPr>
        <w:t xml:space="preserve">Further, NBFC are required to publicly disclose the information related to Liquidity Coverage Ratio on a quarterly basis. Accordingly, the disclosure on Liquidity Coverage Ratio of L&amp;T Finance Limited </w:t>
      </w:r>
      <w:r w:rsidR="00282D70" w:rsidRPr="000A5771">
        <w:rPr>
          <w:sz w:val="22"/>
          <w:szCs w:val="22"/>
        </w:rPr>
        <w:t>for Q</w:t>
      </w:r>
      <w:r w:rsidR="00EF7321">
        <w:rPr>
          <w:sz w:val="22"/>
          <w:szCs w:val="22"/>
        </w:rPr>
        <w:t>1</w:t>
      </w:r>
      <w:r w:rsidR="00282D70" w:rsidRPr="000A5771">
        <w:rPr>
          <w:sz w:val="22"/>
          <w:szCs w:val="22"/>
        </w:rPr>
        <w:t>-FY202</w:t>
      </w:r>
      <w:r w:rsidR="00EF7321">
        <w:rPr>
          <w:sz w:val="22"/>
          <w:szCs w:val="22"/>
        </w:rPr>
        <w:t>4</w:t>
      </w:r>
      <w:r w:rsidRPr="000A5771">
        <w:rPr>
          <w:sz w:val="22"/>
          <w:szCs w:val="22"/>
        </w:rPr>
        <w:t xml:space="preserve"> is as under:</w:t>
      </w:r>
    </w:p>
    <w:p w14:paraId="28BEAB4B" w14:textId="77777777" w:rsidR="000A0053" w:rsidRPr="000A5771" w:rsidRDefault="000A0053" w:rsidP="000A0053">
      <w:pPr>
        <w:pStyle w:val="Default"/>
        <w:jc w:val="both"/>
        <w:rPr>
          <w:sz w:val="22"/>
          <w:szCs w:val="22"/>
        </w:rPr>
      </w:pPr>
    </w:p>
    <w:tbl>
      <w:tblPr>
        <w:tblW w:w="11062" w:type="dxa"/>
        <w:tblInd w:w="-856" w:type="dxa"/>
        <w:tblLook w:val="04A0" w:firstRow="1" w:lastRow="0" w:firstColumn="1" w:lastColumn="0" w:noHBand="0" w:noVBand="1"/>
      </w:tblPr>
      <w:tblGrid>
        <w:gridCol w:w="546"/>
        <w:gridCol w:w="6259"/>
        <w:gridCol w:w="2269"/>
        <w:gridCol w:w="1988"/>
      </w:tblGrid>
      <w:tr w:rsidR="000A0053" w:rsidRPr="000A5771" w14:paraId="2143368D" w14:textId="77777777" w:rsidTr="008D743B">
        <w:trPr>
          <w:trHeight w:val="383"/>
        </w:trPr>
        <w:tc>
          <w:tcPr>
            <w:tcW w:w="68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BE2AD9" w14:textId="77777777" w:rsidR="000A0053" w:rsidRPr="000A5771" w:rsidRDefault="000A0053" w:rsidP="008D743B">
            <w:pPr>
              <w:spacing w:after="0"/>
              <w:rPr>
                <w:rFonts w:ascii="Arial" w:hAnsi="Arial" w:cs="Arial"/>
              </w:rPr>
            </w:pPr>
            <w:r w:rsidRPr="000A5771">
              <w:rPr>
                <w:rFonts w:ascii="Arial" w:eastAsia="Times New Roman" w:hAnsi="Arial" w:cs="Arial"/>
                <w:b/>
                <w:bCs/>
                <w:color w:val="000000"/>
              </w:rPr>
              <w:t>LCR Disclosure</w:t>
            </w:r>
          </w:p>
        </w:tc>
        <w:tc>
          <w:tcPr>
            <w:tcW w:w="4257" w:type="dxa"/>
            <w:gridSpan w:val="2"/>
            <w:tcBorders>
              <w:top w:val="single" w:sz="4" w:space="0" w:color="auto"/>
              <w:left w:val="nil"/>
              <w:bottom w:val="single" w:sz="4" w:space="0" w:color="auto"/>
              <w:right w:val="single" w:sz="4" w:space="0" w:color="auto"/>
            </w:tcBorders>
            <w:shd w:val="clear" w:color="auto" w:fill="auto"/>
            <w:vAlign w:val="center"/>
            <w:hideMark/>
          </w:tcPr>
          <w:p w14:paraId="5B7E8F10" w14:textId="1214B772" w:rsidR="000A0053" w:rsidRPr="000A5771" w:rsidRDefault="00282D70" w:rsidP="00BB6E04">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Q</w:t>
            </w:r>
            <w:r w:rsidR="00EF7321">
              <w:rPr>
                <w:rFonts w:ascii="Arial" w:eastAsia="Times New Roman" w:hAnsi="Arial" w:cs="Arial"/>
                <w:b/>
                <w:bCs/>
                <w:color w:val="000000"/>
              </w:rPr>
              <w:t>1</w:t>
            </w:r>
            <w:r w:rsidRPr="000A5771">
              <w:rPr>
                <w:rFonts w:ascii="Arial" w:eastAsia="Times New Roman" w:hAnsi="Arial" w:cs="Arial"/>
                <w:b/>
                <w:bCs/>
                <w:color w:val="000000"/>
              </w:rPr>
              <w:t>-FY202</w:t>
            </w:r>
            <w:r w:rsidR="00EF7321">
              <w:rPr>
                <w:rFonts w:ascii="Arial" w:eastAsia="Times New Roman" w:hAnsi="Arial" w:cs="Arial"/>
                <w:b/>
                <w:bCs/>
                <w:color w:val="000000"/>
              </w:rPr>
              <w:t>4</w:t>
            </w:r>
          </w:p>
        </w:tc>
      </w:tr>
      <w:tr w:rsidR="000A0053" w:rsidRPr="000A5771" w14:paraId="7A9D9939" w14:textId="77777777" w:rsidTr="008D743B">
        <w:trPr>
          <w:trHeight w:val="618"/>
        </w:trPr>
        <w:tc>
          <w:tcPr>
            <w:tcW w:w="6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07B9E" w14:textId="77777777" w:rsidR="000A0053" w:rsidRPr="000A5771" w:rsidRDefault="000A0053" w:rsidP="008D743B">
            <w:pPr>
              <w:spacing w:after="0" w:line="240" w:lineRule="auto"/>
              <w:rPr>
                <w:rFonts w:ascii="Arial" w:eastAsia="Times New Roman" w:hAnsi="Arial" w:cs="Arial"/>
                <w:b/>
                <w:bCs/>
                <w:color w:val="000000"/>
              </w:rPr>
            </w:pPr>
            <w:r w:rsidRPr="000A5771">
              <w:rPr>
                <w:rFonts w:ascii="Arial" w:eastAsia="Times New Roman" w:hAnsi="Arial" w:cs="Arial"/>
                <w:b/>
                <w:bCs/>
                <w:color w:val="000000"/>
              </w:rPr>
              <w:t>(Rs. in Crore)</w:t>
            </w:r>
          </w:p>
        </w:tc>
        <w:tc>
          <w:tcPr>
            <w:tcW w:w="2269" w:type="dxa"/>
            <w:tcBorders>
              <w:top w:val="nil"/>
              <w:left w:val="nil"/>
              <w:bottom w:val="single" w:sz="4" w:space="0" w:color="auto"/>
              <w:right w:val="single" w:sz="4" w:space="0" w:color="auto"/>
            </w:tcBorders>
            <w:shd w:val="clear" w:color="auto" w:fill="auto"/>
            <w:vAlign w:val="center"/>
            <w:hideMark/>
          </w:tcPr>
          <w:p w14:paraId="03E31F50" w14:textId="77777777" w:rsidR="000A0053" w:rsidRPr="000A5771" w:rsidRDefault="000A0053" w:rsidP="008D743B">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Total Unweighted</w:t>
            </w:r>
            <w:r w:rsidRPr="000A5771">
              <w:rPr>
                <w:rFonts w:ascii="Arial" w:eastAsia="Times New Roman" w:hAnsi="Arial" w:cs="Arial"/>
                <w:b/>
                <w:bCs/>
                <w:color w:val="000000"/>
                <w:vertAlign w:val="superscript"/>
              </w:rPr>
              <w:t>1</w:t>
            </w:r>
            <w:r w:rsidRPr="000A5771">
              <w:rPr>
                <w:rFonts w:ascii="Arial" w:eastAsia="Times New Roman" w:hAnsi="Arial" w:cs="Arial"/>
                <w:b/>
                <w:bCs/>
                <w:color w:val="000000"/>
              </w:rPr>
              <w:t xml:space="preserve"> Value </w:t>
            </w:r>
          </w:p>
        </w:tc>
        <w:tc>
          <w:tcPr>
            <w:tcW w:w="1988" w:type="dxa"/>
            <w:tcBorders>
              <w:top w:val="nil"/>
              <w:left w:val="nil"/>
              <w:bottom w:val="single" w:sz="4" w:space="0" w:color="auto"/>
              <w:right w:val="single" w:sz="4" w:space="0" w:color="auto"/>
            </w:tcBorders>
            <w:shd w:val="clear" w:color="auto" w:fill="auto"/>
            <w:vAlign w:val="center"/>
            <w:hideMark/>
          </w:tcPr>
          <w:p w14:paraId="3B34FB68" w14:textId="77777777" w:rsidR="000A0053" w:rsidRPr="000A5771" w:rsidRDefault="000A0053" w:rsidP="008D743B">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Total Weighted</w:t>
            </w:r>
            <w:r w:rsidRPr="000A5771">
              <w:rPr>
                <w:rFonts w:ascii="Arial" w:eastAsia="Times New Roman" w:hAnsi="Arial" w:cs="Arial"/>
                <w:b/>
                <w:bCs/>
                <w:color w:val="000000"/>
                <w:vertAlign w:val="superscript"/>
              </w:rPr>
              <w:t>2</w:t>
            </w:r>
            <w:r w:rsidRPr="000A5771">
              <w:rPr>
                <w:rFonts w:ascii="Arial" w:eastAsia="Times New Roman" w:hAnsi="Arial" w:cs="Arial"/>
                <w:b/>
                <w:bCs/>
                <w:color w:val="000000"/>
              </w:rPr>
              <w:t xml:space="preserve"> Value </w:t>
            </w:r>
          </w:p>
        </w:tc>
      </w:tr>
      <w:tr w:rsidR="000A0053" w:rsidRPr="000A5771" w14:paraId="6984B2BC" w14:textId="77777777" w:rsidTr="008D743B">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B0C14C0" w14:textId="77777777" w:rsidR="000A0053" w:rsidRPr="000A5771" w:rsidRDefault="000A0053" w:rsidP="008D743B">
            <w:pPr>
              <w:spacing w:after="0" w:line="240" w:lineRule="auto"/>
              <w:rPr>
                <w:rFonts w:ascii="Arial" w:eastAsia="Times New Roman" w:hAnsi="Arial" w:cs="Arial"/>
                <w:b/>
                <w:bCs/>
                <w:color w:val="000000"/>
              </w:rPr>
            </w:pPr>
            <w:r w:rsidRPr="000A5771">
              <w:rPr>
                <w:rFonts w:ascii="Arial" w:eastAsia="Times New Roman" w:hAnsi="Arial" w:cs="Arial"/>
                <w:b/>
                <w:bCs/>
                <w:color w:val="000000"/>
                <w:u w:val="single"/>
              </w:rPr>
              <w:t>High Quality Liquid Assets</w:t>
            </w:r>
          </w:p>
        </w:tc>
      </w:tr>
      <w:tr w:rsidR="000A0053" w:rsidRPr="000A5771" w14:paraId="47B524DF"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C9BDDA" w14:textId="77777777" w:rsidR="000A0053" w:rsidRPr="000A5771" w:rsidRDefault="000A0053" w:rsidP="008D743B">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8508B9" w14:textId="77777777" w:rsidR="000A0053" w:rsidRPr="000A5771" w:rsidRDefault="000A0053" w:rsidP="008D743B">
            <w:pPr>
              <w:spacing w:after="0" w:line="240" w:lineRule="auto"/>
              <w:rPr>
                <w:rFonts w:ascii="Arial" w:eastAsia="Times New Roman" w:hAnsi="Arial" w:cs="Arial"/>
                <w:b/>
                <w:bCs/>
                <w:color w:val="000000"/>
              </w:rPr>
            </w:pPr>
            <w:r w:rsidRPr="000A5771">
              <w:rPr>
                <w:rFonts w:ascii="Arial" w:eastAsia="Times New Roman" w:hAnsi="Arial" w:cs="Arial"/>
                <w:b/>
                <w:bCs/>
                <w:color w:val="000000"/>
              </w:rPr>
              <w:t>Total High Quality Liquid Assets (HQLA)</w:t>
            </w:r>
          </w:p>
        </w:tc>
        <w:tc>
          <w:tcPr>
            <w:tcW w:w="2269" w:type="dxa"/>
            <w:tcBorders>
              <w:top w:val="nil"/>
              <w:left w:val="nil"/>
              <w:bottom w:val="single" w:sz="4" w:space="0" w:color="auto"/>
              <w:right w:val="single" w:sz="4" w:space="0" w:color="auto"/>
            </w:tcBorders>
            <w:shd w:val="clear" w:color="auto" w:fill="auto"/>
            <w:noWrap/>
            <w:vAlign w:val="center"/>
            <w:hideMark/>
          </w:tcPr>
          <w:p w14:paraId="7AAC6158" w14:textId="426AEB62" w:rsidR="000A0053" w:rsidRPr="000A5771" w:rsidRDefault="00B00184" w:rsidP="00994DB5">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r w:rsidR="00902EC5">
              <w:rPr>
                <w:rFonts w:ascii="Arial" w:eastAsia="Times New Roman" w:hAnsi="Arial" w:cs="Arial"/>
                <w:b/>
                <w:bCs/>
                <w:color w:val="000000"/>
              </w:rPr>
              <w:t>53</w:t>
            </w:r>
            <w:r>
              <w:rPr>
                <w:rFonts w:ascii="Arial" w:eastAsia="Times New Roman" w:hAnsi="Arial" w:cs="Arial"/>
                <w:b/>
                <w:bCs/>
                <w:color w:val="000000"/>
              </w:rPr>
              <w:t>.</w:t>
            </w:r>
            <w:r w:rsidR="00902EC5">
              <w:rPr>
                <w:rFonts w:ascii="Arial" w:eastAsia="Times New Roman" w:hAnsi="Arial" w:cs="Arial"/>
                <w:b/>
                <w:bCs/>
                <w:color w:val="000000"/>
              </w:rPr>
              <w:t>94</w:t>
            </w:r>
          </w:p>
        </w:tc>
        <w:tc>
          <w:tcPr>
            <w:tcW w:w="1988" w:type="dxa"/>
            <w:tcBorders>
              <w:top w:val="nil"/>
              <w:left w:val="nil"/>
              <w:bottom w:val="single" w:sz="4" w:space="0" w:color="auto"/>
              <w:right w:val="single" w:sz="4" w:space="0" w:color="auto"/>
            </w:tcBorders>
            <w:shd w:val="clear" w:color="auto" w:fill="auto"/>
            <w:noWrap/>
            <w:vAlign w:val="center"/>
            <w:hideMark/>
          </w:tcPr>
          <w:p w14:paraId="421F5964" w14:textId="1942F50C" w:rsidR="000A0053" w:rsidRPr="000A5771" w:rsidRDefault="00B00184" w:rsidP="008D743B">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r w:rsidR="00902EC5">
              <w:rPr>
                <w:rFonts w:ascii="Arial" w:eastAsia="Times New Roman" w:hAnsi="Arial" w:cs="Arial"/>
                <w:b/>
                <w:bCs/>
                <w:color w:val="000000"/>
              </w:rPr>
              <w:t>53</w:t>
            </w:r>
            <w:r w:rsidR="000213F4" w:rsidRPr="000A5771">
              <w:rPr>
                <w:rFonts w:ascii="Arial" w:eastAsia="Times New Roman" w:hAnsi="Arial" w:cs="Arial"/>
                <w:b/>
                <w:bCs/>
                <w:color w:val="000000"/>
              </w:rPr>
              <w:t>.</w:t>
            </w:r>
            <w:r w:rsidR="00902EC5">
              <w:rPr>
                <w:rFonts w:ascii="Arial" w:eastAsia="Times New Roman" w:hAnsi="Arial" w:cs="Arial"/>
                <w:b/>
                <w:bCs/>
                <w:color w:val="000000"/>
              </w:rPr>
              <w:t>94</w:t>
            </w:r>
          </w:p>
        </w:tc>
      </w:tr>
      <w:tr w:rsidR="000A0053" w:rsidRPr="000A5771" w14:paraId="4C748BAC"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B546D29" w14:textId="77777777" w:rsidR="000A0053" w:rsidRPr="000A5771" w:rsidRDefault="000A0053" w:rsidP="008D743B">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40EC71D2" w14:textId="77777777" w:rsidR="000A0053" w:rsidRPr="000A5771" w:rsidRDefault="000A0053" w:rsidP="008D743B">
            <w:pPr>
              <w:spacing w:after="0" w:line="240" w:lineRule="auto"/>
              <w:rPr>
                <w:rFonts w:ascii="Arial" w:eastAsia="Times New Roman" w:hAnsi="Arial" w:cs="Arial"/>
                <w:bCs/>
                <w:color w:val="000000"/>
              </w:rPr>
            </w:pPr>
            <w:r w:rsidRPr="000A5771">
              <w:rPr>
                <w:rFonts w:ascii="Arial" w:eastAsia="Times New Roman" w:hAnsi="Arial" w:cs="Arial"/>
                <w:bCs/>
                <w:color w:val="000000"/>
              </w:rPr>
              <w:t>Cash in hand &amp; Bank Balance</w:t>
            </w:r>
          </w:p>
        </w:tc>
        <w:tc>
          <w:tcPr>
            <w:tcW w:w="2269" w:type="dxa"/>
            <w:tcBorders>
              <w:top w:val="nil"/>
              <w:left w:val="nil"/>
              <w:bottom w:val="single" w:sz="4" w:space="0" w:color="auto"/>
              <w:right w:val="single" w:sz="4" w:space="0" w:color="auto"/>
            </w:tcBorders>
            <w:shd w:val="clear" w:color="auto" w:fill="auto"/>
            <w:noWrap/>
            <w:vAlign w:val="center"/>
          </w:tcPr>
          <w:p w14:paraId="49D75A68" w14:textId="1AF8CFCB" w:rsidR="000A0053" w:rsidRPr="000A5771" w:rsidRDefault="00B00184" w:rsidP="004C51F1">
            <w:pPr>
              <w:spacing w:after="0" w:line="240" w:lineRule="auto"/>
              <w:jc w:val="center"/>
              <w:rPr>
                <w:rFonts w:ascii="Arial" w:eastAsia="Times New Roman" w:hAnsi="Arial" w:cs="Arial"/>
                <w:bCs/>
                <w:color w:val="000000"/>
              </w:rPr>
            </w:pPr>
            <w:r>
              <w:rPr>
                <w:rFonts w:ascii="Arial" w:eastAsia="Times New Roman" w:hAnsi="Arial" w:cs="Arial"/>
                <w:bCs/>
                <w:color w:val="000000"/>
              </w:rPr>
              <w:t>4</w:t>
            </w:r>
            <w:r w:rsidR="00902EC5">
              <w:rPr>
                <w:rFonts w:ascii="Arial" w:eastAsia="Times New Roman" w:hAnsi="Arial" w:cs="Arial"/>
                <w:bCs/>
                <w:color w:val="000000"/>
              </w:rPr>
              <w:t>20</w:t>
            </w:r>
            <w:r>
              <w:rPr>
                <w:rFonts w:ascii="Arial" w:eastAsia="Times New Roman" w:hAnsi="Arial" w:cs="Arial"/>
                <w:bCs/>
                <w:color w:val="000000"/>
              </w:rPr>
              <w:t>.</w:t>
            </w:r>
            <w:r w:rsidR="00D02174">
              <w:rPr>
                <w:rFonts w:ascii="Arial" w:eastAsia="Times New Roman" w:hAnsi="Arial" w:cs="Arial"/>
                <w:bCs/>
                <w:color w:val="000000"/>
              </w:rPr>
              <w:t>38</w:t>
            </w:r>
          </w:p>
        </w:tc>
        <w:tc>
          <w:tcPr>
            <w:tcW w:w="1988" w:type="dxa"/>
            <w:tcBorders>
              <w:top w:val="nil"/>
              <w:left w:val="nil"/>
              <w:bottom w:val="single" w:sz="4" w:space="0" w:color="auto"/>
              <w:right w:val="single" w:sz="4" w:space="0" w:color="auto"/>
            </w:tcBorders>
            <w:shd w:val="clear" w:color="auto" w:fill="auto"/>
            <w:noWrap/>
            <w:vAlign w:val="center"/>
          </w:tcPr>
          <w:p w14:paraId="65B42ECE" w14:textId="56485AEA" w:rsidR="000A0053" w:rsidRPr="000A5771" w:rsidRDefault="00B00184" w:rsidP="004C51F1">
            <w:pPr>
              <w:spacing w:after="0" w:line="240" w:lineRule="auto"/>
              <w:jc w:val="center"/>
              <w:rPr>
                <w:rFonts w:ascii="Arial" w:eastAsia="Times New Roman" w:hAnsi="Arial" w:cs="Arial"/>
                <w:bCs/>
                <w:color w:val="000000"/>
              </w:rPr>
            </w:pPr>
            <w:r>
              <w:rPr>
                <w:rFonts w:ascii="Arial" w:eastAsia="Times New Roman" w:hAnsi="Arial" w:cs="Arial"/>
                <w:bCs/>
                <w:color w:val="000000"/>
              </w:rPr>
              <w:t>4</w:t>
            </w:r>
            <w:r w:rsidR="00902EC5">
              <w:rPr>
                <w:rFonts w:ascii="Arial" w:eastAsia="Times New Roman" w:hAnsi="Arial" w:cs="Arial"/>
                <w:bCs/>
                <w:color w:val="000000"/>
              </w:rPr>
              <w:t>20</w:t>
            </w:r>
            <w:r>
              <w:rPr>
                <w:rFonts w:ascii="Arial" w:eastAsia="Times New Roman" w:hAnsi="Arial" w:cs="Arial"/>
                <w:bCs/>
                <w:color w:val="000000"/>
              </w:rPr>
              <w:t>.3</w:t>
            </w:r>
            <w:r w:rsidR="00902EC5">
              <w:rPr>
                <w:rFonts w:ascii="Arial" w:eastAsia="Times New Roman" w:hAnsi="Arial" w:cs="Arial"/>
                <w:bCs/>
                <w:color w:val="000000"/>
              </w:rPr>
              <w:t>8</w:t>
            </w:r>
          </w:p>
        </w:tc>
      </w:tr>
      <w:tr w:rsidR="000A0053" w:rsidRPr="000A5771" w14:paraId="3F9D7BD4"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E1F2279" w14:textId="77777777" w:rsidR="000A0053" w:rsidRPr="000A5771" w:rsidRDefault="000A0053" w:rsidP="008D743B">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7B7A3F64" w14:textId="2C1A320C" w:rsidR="000A0053" w:rsidRPr="000A5771" w:rsidRDefault="000A0053" w:rsidP="00EB4BD2">
            <w:pPr>
              <w:spacing w:after="0" w:line="240" w:lineRule="auto"/>
              <w:rPr>
                <w:rFonts w:ascii="Arial" w:eastAsia="Times New Roman" w:hAnsi="Arial" w:cs="Arial"/>
                <w:bCs/>
                <w:color w:val="000000"/>
              </w:rPr>
            </w:pPr>
            <w:r w:rsidRPr="000A5771">
              <w:rPr>
                <w:rFonts w:ascii="Arial" w:eastAsia="Times New Roman" w:hAnsi="Arial" w:cs="Arial"/>
                <w:bCs/>
                <w:color w:val="000000"/>
              </w:rPr>
              <w:t>Treasury Bills</w:t>
            </w:r>
            <w:r w:rsidR="003D4D0A" w:rsidRPr="000A5771">
              <w:rPr>
                <w:rFonts w:ascii="Arial" w:eastAsia="Times New Roman" w:hAnsi="Arial" w:cs="Arial"/>
                <w:bCs/>
                <w:color w:val="000000"/>
              </w:rPr>
              <w:t xml:space="preserve"> / G Sec</w:t>
            </w:r>
            <w:r w:rsidR="00E676B5" w:rsidRPr="000A5771">
              <w:rPr>
                <w:rFonts w:ascii="Arial" w:eastAsia="Times New Roman" w:hAnsi="Arial" w:cs="Arial"/>
                <w:bCs/>
                <w:color w:val="000000"/>
              </w:rPr>
              <w:t xml:space="preserve"> </w:t>
            </w:r>
            <w:r w:rsidR="00E676B5" w:rsidRPr="000A5771">
              <w:rPr>
                <w:rFonts w:ascii="Arial" w:hAnsi="Arial" w:cs="Arial"/>
                <w:color w:val="000000"/>
                <w:shd w:val="clear" w:color="auto" w:fill="FFFFFF"/>
              </w:rPr>
              <w:t xml:space="preserve">(including </w:t>
            </w:r>
            <w:r w:rsidR="00EB4BD2" w:rsidRPr="000A5771">
              <w:rPr>
                <w:rFonts w:ascii="Arial" w:hAnsi="Arial" w:cs="Arial"/>
                <w:color w:val="000000"/>
                <w:shd w:val="clear" w:color="auto" w:fill="FFFFFF"/>
              </w:rPr>
              <w:t xml:space="preserve">Lending Under </w:t>
            </w:r>
            <w:r w:rsidR="00E676B5" w:rsidRPr="000A5771">
              <w:rPr>
                <w:rFonts w:ascii="Arial" w:hAnsi="Arial" w:cs="Arial"/>
                <w:color w:val="000000"/>
                <w:shd w:val="clear" w:color="auto" w:fill="FFFFFF"/>
              </w:rPr>
              <w:t xml:space="preserve">CBLO / TREPS </w:t>
            </w:r>
            <w:r w:rsidR="00EB4BD2" w:rsidRPr="000A5771">
              <w:rPr>
                <w:rFonts w:ascii="Arial" w:hAnsi="Arial" w:cs="Arial"/>
                <w:color w:val="000000"/>
                <w:shd w:val="clear" w:color="auto" w:fill="FFFFFF"/>
              </w:rPr>
              <w:t>Platform</w:t>
            </w:r>
            <w:r w:rsidR="00E676B5" w:rsidRPr="000A5771">
              <w:rPr>
                <w:rFonts w:ascii="Arial" w:hAnsi="Arial" w:cs="Arial"/>
                <w:color w:val="000000"/>
                <w:shd w:val="clear" w:color="auto" w:fill="FFFFFF"/>
              </w:rPr>
              <w:t>)</w:t>
            </w:r>
          </w:p>
        </w:tc>
        <w:tc>
          <w:tcPr>
            <w:tcW w:w="2269" w:type="dxa"/>
            <w:tcBorders>
              <w:top w:val="nil"/>
              <w:left w:val="nil"/>
              <w:bottom w:val="single" w:sz="4" w:space="0" w:color="auto"/>
              <w:right w:val="single" w:sz="4" w:space="0" w:color="auto"/>
            </w:tcBorders>
            <w:shd w:val="clear" w:color="auto" w:fill="auto"/>
            <w:noWrap/>
            <w:vAlign w:val="center"/>
          </w:tcPr>
          <w:p w14:paraId="1BDECB74" w14:textId="30D49761" w:rsidR="000A0053" w:rsidRPr="000A5771" w:rsidRDefault="000213F4" w:rsidP="004C51F1">
            <w:pPr>
              <w:spacing w:after="0" w:line="240" w:lineRule="auto"/>
              <w:jc w:val="center"/>
              <w:rPr>
                <w:rFonts w:ascii="Arial" w:eastAsia="Times New Roman" w:hAnsi="Arial" w:cs="Arial"/>
                <w:bCs/>
                <w:color w:val="000000"/>
              </w:rPr>
            </w:pPr>
            <w:r w:rsidRPr="000A5771">
              <w:rPr>
                <w:rFonts w:ascii="Arial" w:eastAsia="Times New Roman" w:hAnsi="Arial" w:cs="Arial"/>
                <w:bCs/>
                <w:color w:val="000000"/>
              </w:rPr>
              <w:t>1,</w:t>
            </w:r>
            <w:r w:rsidR="00B00184">
              <w:rPr>
                <w:rFonts w:ascii="Arial" w:eastAsia="Times New Roman" w:hAnsi="Arial" w:cs="Arial"/>
                <w:bCs/>
                <w:color w:val="000000"/>
              </w:rPr>
              <w:t>4</w:t>
            </w:r>
            <w:r w:rsidR="00902EC5">
              <w:rPr>
                <w:rFonts w:ascii="Arial" w:eastAsia="Times New Roman" w:hAnsi="Arial" w:cs="Arial"/>
                <w:bCs/>
                <w:color w:val="000000"/>
              </w:rPr>
              <w:t>30</w:t>
            </w:r>
            <w:r w:rsidR="00B00184">
              <w:rPr>
                <w:rFonts w:ascii="Arial" w:eastAsia="Times New Roman" w:hAnsi="Arial" w:cs="Arial"/>
                <w:bCs/>
                <w:color w:val="000000"/>
              </w:rPr>
              <w:t>.</w:t>
            </w:r>
            <w:r w:rsidR="00902EC5">
              <w:rPr>
                <w:rFonts w:ascii="Arial" w:eastAsia="Times New Roman" w:hAnsi="Arial" w:cs="Arial"/>
                <w:bCs/>
                <w:color w:val="000000"/>
              </w:rPr>
              <w:t>11</w:t>
            </w:r>
          </w:p>
        </w:tc>
        <w:tc>
          <w:tcPr>
            <w:tcW w:w="1988" w:type="dxa"/>
            <w:tcBorders>
              <w:top w:val="nil"/>
              <w:left w:val="nil"/>
              <w:bottom w:val="single" w:sz="4" w:space="0" w:color="auto"/>
              <w:right w:val="single" w:sz="4" w:space="0" w:color="auto"/>
            </w:tcBorders>
            <w:shd w:val="clear" w:color="auto" w:fill="auto"/>
            <w:noWrap/>
            <w:vAlign w:val="center"/>
          </w:tcPr>
          <w:p w14:paraId="4D2FD8D0" w14:textId="66C02BF1" w:rsidR="000A0053" w:rsidRPr="000A5771" w:rsidRDefault="00BB6E04" w:rsidP="004C51F1">
            <w:pPr>
              <w:spacing w:after="0" w:line="240" w:lineRule="auto"/>
              <w:jc w:val="center"/>
              <w:rPr>
                <w:rFonts w:ascii="Arial" w:eastAsia="Times New Roman" w:hAnsi="Arial" w:cs="Arial"/>
                <w:bCs/>
                <w:color w:val="000000"/>
              </w:rPr>
            </w:pPr>
            <w:r w:rsidRPr="000A5771">
              <w:rPr>
                <w:rFonts w:ascii="Arial" w:eastAsia="Times New Roman" w:hAnsi="Arial" w:cs="Arial"/>
                <w:bCs/>
                <w:color w:val="000000"/>
              </w:rPr>
              <w:t>1,</w:t>
            </w:r>
            <w:r w:rsidR="00B00184">
              <w:rPr>
                <w:rFonts w:ascii="Arial" w:eastAsia="Times New Roman" w:hAnsi="Arial" w:cs="Arial"/>
                <w:bCs/>
                <w:color w:val="000000"/>
              </w:rPr>
              <w:t>4</w:t>
            </w:r>
            <w:r w:rsidR="00902EC5">
              <w:rPr>
                <w:rFonts w:ascii="Arial" w:eastAsia="Times New Roman" w:hAnsi="Arial" w:cs="Arial"/>
                <w:bCs/>
                <w:color w:val="000000"/>
              </w:rPr>
              <w:t>30</w:t>
            </w:r>
            <w:r w:rsidR="00924C1B" w:rsidRPr="000A5771">
              <w:rPr>
                <w:rFonts w:ascii="Arial" w:eastAsia="Times New Roman" w:hAnsi="Arial" w:cs="Arial"/>
                <w:bCs/>
                <w:color w:val="000000"/>
              </w:rPr>
              <w:t>.</w:t>
            </w:r>
            <w:r w:rsidR="00902EC5">
              <w:rPr>
                <w:rFonts w:ascii="Arial" w:eastAsia="Times New Roman" w:hAnsi="Arial" w:cs="Arial"/>
                <w:bCs/>
                <w:color w:val="000000"/>
              </w:rPr>
              <w:t>11</w:t>
            </w:r>
          </w:p>
        </w:tc>
      </w:tr>
      <w:tr w:rsidR="00B00184" w:rsidRPr="000A5771" w14:paraId="39451373"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DCA11ED" w14:textId="77777777" w:rsidR="00B00184" w:rsidRPr="000A5771" w:rsidRDefault="00B00184" w:rsidP="008D743B">
            <w:pPr>
              <w:spacing w:after="0" w:line="240" w:lineRule="auto"/>
              <w:jc w:val="center"/>
              <w:rPr>
                <w:rFonts w:ascii="Arial" w:eastAsia="Times New Roman" w:hAnsi="Arial" w:cs="Arial"/>
                <w:b/>
                <w:bCs/>
                <w:color w:val="000000"/>
              </w:rPr>
            </w:pPr>
          </w:p>
        </w:tc>
        <w:tc>
          <w:tcPr>
            <w:tcW w:w="6259" w:type="dxa"/>
            <w:tcBorders>
              <w:top w:val="nil"/>
              <w:left w:val="nil"/>
              <w:bottom w:val="single" w:sz="4" w:space="0" w:color="auto"/>
              <w:right w:val="single" w:sz="4" w:space="0" w:color="auto"/>
            </w:tcBorders>
            <w:shd w:val="clear" w:color="auto" w:fill="auto"/>
            <w:noWrap/>
            <w:vAlign w:val="center"/>
          </w:tcPr>
          <w:p w14:paraId="0C1E79A2" w14:textId="38DC327C" w:rsidR="00B00184" w:rsidRPr="000A5771" w:rsidRDefault="00B00184" w:rsidP="00EB4BD2">
            <w:pPr>
              <w:spacing w:after="0" w:line="240" w:lineRule="auto"/>
              <w:rPr>
                <w:rFonts w:ascii="Arial" w:eastAsia="Times New Roman" w:hAnsi="Arial" w:cs="Arial"/>
                <w:bCs/>
                <w:color w:val="000000"/>
              </w:rPr>
            </w:pPr>
            <w:r>
              <w:rPr>
                <w:rFonts w:ascii="Arial" w:eastAsia="Times New Roman" w:hAnsi="Arial" w:cs="Arial"/>
                <w:bCs/>
                <w:color w:val="000000"/>
              </w:rPr>
              <w:t>CBLO (TREPS Lending)</w:t>
            </w:r>
          </w:p>
        </w:tc>
        <w:tc>
          <w:tcPr>
            <w:tcW w:w="2269" w:type="dxa"/>
            <w:tcBorders>
              <w:top w:val="nil"/>
              <w:left w:val="nil"/>
              <w:bottom w:val="single" w:sz="4" w:space="0" w:color="auto"/>
              <w:right w:val="single" w:sz="4" w:space="0" w:color="auto"/>
            </w:tcBorders>
            <w:shd w:val="clear" w:color="auto" w:fill="auto"/>
            <w:noWrap/>
            <w:vAlign w:val="center"/>
          </w:tcPr>
          <w:p w14:paraId="082CE8BD" w14:textId="7562B63B" w:rsidR="00B00184" w:rsidRPr="000A5771" w:rsidRDefault="00B00184" w:rsidP="004C51F1">
            <w:pPr>
              <w:spacing w:after="0" w:line="240" w:lineRule="auto"/>
              <w:jc w:val="center"/>
              <w:rPr>
                <w:rFonts w:ascii="Arial" w:eastAsia="Times New Roman" w:hAnsi="Arial" w:cs="Arial"/>
                <w:bCs/>
                <w:color w:val="000000"/>
              </w:rPr>
            </w:pPr>
            <w:r>
              <w:rPr>
                <w:rFonts w:ascii="Arial" w:eastAsia="Times New Roman" w:hAnsi="Arial" w:cs="Arial"/>
                <w:bCs/>
                <w:color w:val="000000"/>
              </w:rPr>
              <w:t>10</w:t>
            </w:r>
            <w:r w:rsidR="00902EC5">
              <w:rPr>
                <w:rFonts w:ascii="Arial" w:eastAsia="Times New Roman" w:hAnsi="Arial" w:cs="Arial"/>
                <w:bCs/>
                <w:color w:val="000000"/>
              </w:rPr>
              <w:t>3</w:t>
            </w:r>
            <w:r>
              <w:rPr>
                <w:rFonts w:ascii="Arial" w:eastAsia="Times New Roman" w:hAnsi="Arial" w:cs="Arial"/>
                <w:bCs/>
                <w:color w:val="000000"/>
              </w:rPr>
              <w:t>.</w:t>
            </w:r>
            <w:r w:rsidR="00902EC5">
              <w:rPr>
                <w:rFonts w:ascii="Arial" w:eastAsia="Times New Roman" w:hAnsi="Arial" w:cs="Arial"/>
                <w:bCs/>
                <w:color w:val="000000"/>
              </w:rPr>
              <w:t>45</w:t>
            </w:r>
          </w:p>
        </w:tc>
        <w:tc>
          <w:tcPr>
            <w:tcW w:w="1988" w:type="dxa"/>
            <w:tcBorders>
              <w:top w:val="nil"/>
              <w:left w:val="nil"/>
              <w:bottom w:val="single" w:sz="4" w:space="0" w:color="auto"/>
              <w:right w:val="single" w:sz="4" w:space="0" w:color="auto"/>
            </w:tcBorders>
            <w:shd w:val="clear" w:color="auto" w:fill="auto"/>
            <w:noWrap/>
            <w:vAlign w:val="center"/>
          </w:tcPr>
          <w:p w14:paraId="3DE94692" w14:textId="66F5F509" w:rsidR="00B00184" w:rsidRPr="000A5771" w:rsidRDefault="00B00184" w:rsidP="004C51F1">
            <w:pPr>
              <w:spacing w:after="0" w:line="240" w:lineRule="auto"/>
              <w:jc w:val="center"/>
              <w:rPr>
                <w:rFonts w:ascii="Arial" w:eastAsia="Times New Roman" w:hAnsi="Arial" w:cs="Arial"/>
                <w:bCs/>
                <w:color w:val="000000"/>
              </w:rPr>
            </w:pPr>
            <w:r>
              <w:rPr>
                <w:rFonts w:ascii="Arial" w:eastAsia="Times New Roman" w:hAnsi="Arial" w:cs="Arial"/>
                <w:bCs/>
                <w:color w:val="000000"/>
              </w:rPr>
              <w:t>10</w:t>
            </w:r>
            <w:r w:rsidR="00902EC5">
              <w:rPr>
                <w:rFonts w:ascii="Arial" w:eastAsia="Times New Roman" w:hAnsi="Arial" w:cs="Arial"/>
                <w:bCs/>
                <w:color w:val="000000"/>
              </w:rPr>
              <w:t>3</w:t>
            </w:r>
            <w:r>
              <w:rPr>
                <w:rFonts w:ascii="Arial" w:eastAsia="Times New Roman" w:hAnsi="Arial" w:cs="Arial"/>
                <w:bCs/>
                <w:color w:val="000000"/>
              </w:rPr>
              <w:t>.</w:t>
            </w:r>
            <w:r w:rsidR="00902EC5">
              <w:rPr>
                <w:rFonts w:ascii="Arial" w:eastAsia="Times New Roman" w:hAnsi="Arial" w:cs="Arial"/>
                <w:bCs/>
                <w:color w:val="000000"/>
              </w:rPr>
              <w:t>45</w:t>
            </w:r>
          </w:p>
        </w:tc>
      </w:tr>
      <w:tr w:rsidR="000A0053" w:rsidRPr="000A5771" w14:paraId="35C51079" w14:textId="77777777" w:rsidTr="008D743B">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9E7340F" w14:textId="77777777" w:rsidR="000A0053" w:rsidRPr="000A5771" w:rsidRDefault="000A0053" w:rsidP="008D743B">
            <w:pPr>
              <w:spacing w:after="0" w:line="240" w:lineRule="auto"/>
              <w:rPr>
                <w:rFonts w:ascii="Arial" w:eastAsia="Times New Roman" w:hAnsi="Arial" w:cs="Arial"/>
                <w:color w:val="000000"/>
              </w:rPr>
            </w:pPr>
            <w:r w:rsidRPr="000A5771">
              <w:rPr>
                <w:rFonts w:ascii="Arial" w:eastAsia="Times New Roman" w:hAnsi="Arial" w:cs="Arial"/>
                <w:b/>
                <w:color w:val="000000"/>
                <w:u w:val="single"/>
              </w:rPr>
              <w:t>Cash Outflows</w:t>
            </w:r>
          </w:p>
        </w:tc>
      </w:tr>
      <w:tr w:rsidR="000A0053" w:rsidRPr="000A5771" w14:paraId="2DEC89EF"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15B085" w14:textId="77777777" w:rsidR="000A0053" w:rsidRPr="000A5771" w:rsidRDefault="000A0053" w:rsidP="008D743B">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2</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2F21D1DB" w14:textId="77777777" w:rsidR="000A0053" w:rsidRPr="000A5771" w:rsidRDefault="000A0053" w:rsidP="008D743B">
            <w:pPr>
              <w:spacing w:after="0" w:line="240" w:lineRule="auto"/>
              <w:rPr>
                <w:rFonts w:ascii="Arial" w:eastAsia="Times New Roman" w:hAnsi="Arial" w:cs="Arial"/>
                <w:color w:val="000000"/>
              </w:rPr>
            </w:pPr>
            <w:r w:rsidRPr="000A5771">
              <w:rPr>
                <w:rFonts w:ascii="Arial" w:eastAsia="Times New Roman" w:hAnsi="Arial" w:cs="Arial"/>
                <w:color w:val="000000"/>
              </w:rPr>
              <w:t>Deposits (for deposit taking companies)</w:t>
            </w:r>
          </w:p>
        </w:tc>
        <w:tc>
          <w:tcPr>
            <w:tcW w:w="2269" w:type="dxa"/>
            <w:tcBorders>
              <w:top w:val="nil"/>
              <w:left w:val="nil"/>
              <w:bottom w:val="single" w:sz="4" w:space="0" w:color="auto"/>
              <w:right w:val="single" w:sz="4" w:space="0" w:color="auto"/>
            </w:tcBorders>
            <w:shd w:val="clear" w:color="auto" w:fill="auto"/>
            <w:noWrap/>
            <w:vAlign w:val="center"/>
            <w:hideMark/>
          </w:tcPr>
          <w:p w14:paraId="3F7C9BD8" w14:textId="77777777" w:rsidR="000A0053" w:rsidRPr="000A5771" w:rsidRDefault="000A0053" w:rsidP="008D743B">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2A738CC7" w14:textId="77777777" w:rsidR="000A0053" w:rsidRPr="000A5771" w:rsidRDefault="000A0053" w:rsidP="008D743B">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r>
      <w:tr w:rsidR="000A0053" w:rsidRPr="000A5771" w14:paraId="08013A3D"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744EEB" w14:textId="77777777" w:rsidR="000A0053" w:rsidRPr="000A5771" w:rsidRDefault="000A0053" w:rsidP="008D743B">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3</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70476F3" w14:textId="77777777" w:rsidR="000A0053" w:rsidRPr="000A5771" w:rsidRDefault="000A0053" w:rsidP="008D743B">
            <w:pPr>
              <w:spacing w:after="0" w:line="240" w:lineRule="auto"/>
              <w:rPr>
                <w:rFonts w:ascii="Arial" w:eastAsia="Times New Roman" w:hAnsi="Arial" w:cs="Arial"/>
                <w:color w:val="000000"/>
              </w:rPr>
            </w:pPr>
            <w:r w:rsidRPr="000A5771">
              <w:rPr>
                <w:rFonts w:ascii="Arial" w:eastAsia="Times New Roman" w:hAnsi="Arial" w:cs="Arial"/>
                <w:color w:val="000000"/>
              </w:rPr>
              <w:t>Unsecured wholesale funding</w:t>
            </w:r>
          </w:p>
        </w:tc>
        <w:tc>
          <w:tcPr>
            <w:tcW w:w="2269" w:type="dxa"/>
            <w:tcBorders>
              <w:top w:val="nil"/>
              <w:left w:val="nil"/>
              <w:bottom w:val="single" w:sz="4" w:space="0" w:color="auto"/>
              <w:right w:val="single" w:sz="4" w:space="0" w:color="auto"/>
            </w:tcBorders>
            <w:shd w:val="clear" w:color="auto" w:fill="auto"/>
            <w:noWrap/>
            <w:vAlign w:val="center"/>
            <w:hideMark/>
          </w:tcPr>
          <w:p w14:paraId="2153F922" w14:textId="786965F0" w:rsidR="000A0053" w:rsidRPr="000A5771" w:rsidRDefault="00902EC5" w:rsidP="00994DB5">
            <w:pPr>
              <w:spacing w:after="0" w:line="240" w:lineRule="auto"/>
              <w:jc w:val="center"/>
              <w:rPr>
                <w:rFonts w:ascii="Arial" w:eastAsia="Times New Roman" w:hAnsi="Arial" w:cs="Arial"/>
                <w:color w:val="000000"/>
              </w:rPr>
            </w:pPr>
            <w:r>
              <w:rPr>
                <w:rFonts w:ascii="Arial" w:eastAsia="Times New Roman" w:hAnsi="Arial" w:cs="Arial"/>
                <w:color w:val="000000"/>
              </w:rPr>
              <w:t>2</w:t>
            </w:r>
            <w:r w:rsidR="002B6AB1">
              <w:rPr>
                <w:rFonts w:ascii="Arial" w:eastAsia="Times New Roman" w:hAnsi="Arial" w:cs="Arial"/>
                <w:color w:val="000000"/>
              </w:rPr>
              <w:t>,</w:t>
            </w:r>
            <w:r>
              <w:rPr>
                <w:rFonts w:ascii="Arial" w:eastAsia="Times New Roman" w:hAnsi="Arial" w:cs="Arial"/>
                <w:color w:val="000000"/>
              </w:rPr>
              <w:t>216</w:t>
            </w:r>
            <w:r w:rsidR="002B6AB1">
              <w:rPr>
                <w:rFonts w:ascii="Arial" w:eastAsia="Times New Roman" w:hAnsi="Arial" w:cs="Arial"/>
                <w:color w:val="000000"/>
              </w:rPr>
              <w:t>.8</w:t>
            </w:r>
            <w:r>
              <w:rPr>
                <w:rFonts w:ascii="Arial" w:eastAsia="Times New Roman" w:hAnsi="Arial" w:cs="Arial"/>
                <w:color w:val="000000"/>
              </w:rPr>
              <w:t>4</w:t>
            </w:r>
          </w:p>
        </w:tc>
        <w:tc>
          <w:tcPr>
            <w:tcW w:w="1988" w:type="dxa"/>
            <w:tcBorders>
              <w:top w:val="nil"/>
              <w:left w:val="nil"/>
              <w:bottom w:val="single" w:sz="4" w:space="0" w:color="auto"/>
              <w:right w:val="single" w:sz="4" w:space="0" w:color="auto"/>
            </w:tcBorders>
            <w:shd w:val="clear" w:color="auto" w:fill="auto"/>
            <w:noWrap/>
            <w:vAlign w:val="center"/>
            <w:hideMark/>
          </w:tcPr>
          <w:p w14:paraId="2D895150" w14:textId="3E7A1EC5" w:rsidR="000A0053" w:rsidRPr="000A5771" w:rsidRDefault="00902EC5" w:rsidP="008D743B">
            <w:pPr>
              <w:spacing w:after="0" w:line="240" w:lineRule="auto"/>
              <w:jc w:val="center"/>
              <w:rPr>
                <w:rFonts w:ascii="Arial" w:eastAsia="Times New Roman" w:hAnsi="Arial" w:cs="Arial"/>
                <w:color w:val="000000"/>
              </w:rPr>
            </w:pPr>
            <w:r>
              <w:rPr>
                <w:rFonts w:ascii="Arial" w:eastAsia="Times New Roman" w:hAnsi="Arial" w:cs="Arial"/>
                <w:color w:val="000000"/>
              </w:rPr>
              <w:t>2</w:t>
            </w:r>
            <w:r w:rsidR="002B6AB1">
              <w:rPr>
                <w:rFonts w:ascii="Arial" w:eastAsia="Times New Roman" w:hAnsi="Arial" w:cs="Arial"/>
                <w:color w:val="000000"/>
              </w:rPr>
              <w:t>,</w:t>
            </w:r>
            <w:r>
              <w:rPr>
                <w:rFonts w:ascii="Arial" w:eastAsia="Times New Roman" w:hAnsi="Arial" w:cs="Arial"/>
                <w:color w:val="000000"/>
              </w:rPr>
              <w:t>549</w:t>
            </w:r>
            <w:r w:rsidR="002B6AB1">
              <w:rPr>
                <w:rFonts w:ascii="Arial" w:eastAsia="Times New Roman" w:hAnsi="Arial" w:cs="Arial"/>
                <w:color w:val="000000"/>
              </w:rPr>
              <w:t>.</w:t>
            </w:r>
            <w:r>
              <w:rPr>
                <w:rFonts w:ascii="Arial" w:eastAsia="Times New Roman" w:hAnsi="Arial" w:cs="Arial"/>
                <w:color w:val="000000"/>
              </w:rPr>
              <w:t>37</w:t>
            </w:r>
          </w:p>
        </w:tc>
      </w:tr>
      <w:tr w:rsidR="007A290C" w:rsidRPr="000A5771" w14:paraId="06DFBEEF" w14:textId="77777777" w:rsidTr="00C16B7E">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23F746"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4</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D20C5A"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Secured wholesale funding</w:t>
            </w:r>
          </w:p>
        </w:tc>
        <w:tc>
          <w:tcPr>
            <w:tcW w:w="2269" w:type="dxa"/>
            <w:tcBorders>
              <w:top w:val="nil"/>
              <w:left w:val="nil"/>
              <w:bottom w:val="single" w:sz="4" w:space="0" w:color="auto"/>
              <w:right w:val="single" w:sz="4" w:space="0" w:color="auto"/>
            </w:tcBorders>
            <w:shd w:val="clear" w:color="auto" w:fill="auto"/>
            <w:noWrap/>
            <w:vAlign w:val="center"/>
          </w:tcPr>
          <w:p w14:paraId="1D309CF5" w14:textId="40CF6D1F" w:rsidR="007A290C" w:rsidRPr="000A5771" w:rsidRDefault="00902EC5" w:rsidP="007A290C">
            <w:pPr>
              <w:spacing w:after="0" w:line="240" w:lineRule="auto"/>
              <w:jc w:val="center"/>
              <w:rPr>
                <w:rFonts w:ascii="Arial" w:eastAsia="Times New Roman" w:hAnsi="Arial" w:cs="Arial"/>
                <w:color w:val="000000"/>
              </w:rPr>
            </w:pPr>
            <w:r>
              <w:rPr>
                <w:rFonts w:ascii="Arial" w:eastAsia="Times New Roman" w:hAnsi="Arial" w:cs="Arial"/>
                <w:color w:val="000000"/>
              </w:rPr>
              <w:t>1,675</w:t>
            </w:r>
            <w:r w:rsidR="002B6AB1">
              <w:rPr>
                <w:rFonts w:ascii="Arial" w:eastAsia="Times New Roman" w:hAnsi="Arial" w:cs="Arial"/>
                <w:color w:val="000000"/>
              </w:rPr>
              <w:t>.6</w:t>
            </w:r>
            <w:r>
              <w:rPr>
                <w:rFonts w:ascii="Arial" w:eastAsia="Times New Roman" w:hAnsi="Arial" w:cs="Arial"/>
                <w:color w:val="000000"/>
              </w:rPr>
              <w:t>9</w:t>
            </w:r>
          </w:p>
        </w:tc>
        <w:tc>
          <w:tcPr>
            <w:tcW w:w="1988" w:type="dxa"/>
            <w:tcBorders>
              <w:top w:val="nil"/>
              <w:left w:val="nil"/>
              <w:bottom w:val="single" w:sz="4" w:space="0" w:color="auto"/>
              <w:right w:val="single" w:sz="4" w:space="0" w:color="auto"/>
            </w:tcBorders>
            <w:shd w:val="clear" w:color="auto" w:fill="auto"/>
            <w:noWrap/>
            <w:vAlign w:val="center"/>
          </w:tcPr>
          <w:p w14:paraId="6D0228AF" w14:textId="1E1BE637" w:rsidR="007A290C" w:rsidRPr="000A5771" w:rsidRDefault="00902EC5" w:rsidP="007A290C">
            <w:pPr>
              <w:spacing w:after="0" w:line="240" w:lineRule="auto"/>
              <w:jc w:val="center"/>
              <w:rPr>
                <w:rFonts w:ascii="Arial" w:eastAsia="Times New Roman" w:hAnsi="Arial" w:cs="Arial"/>
                <w:color w:val="000000"/>
              </w:rPr>
            </w:pPr>
            <w:r>
              <w:rPr>
                <w:rFonts w:ascii="Arial" w:eastAsia="Times New Roman" w:hAnsi="Arial" w:cs="Arial"/>
                <w:color w:val="000000"/>
              </w:rPr>
              <w:t>1</w:t>
            </w:r>
            <w:r w:rsidR="002B6AB1">
              <w:rPr>
                <w:rFonts w:ascii="Arial" w:eastAsia="Times New Roman" w:hAnsi="Arial" w:cs="Arial"/>
                <w:color w:val="000000"/>
              </w:rPr>
              <w:t>,</w:t>
            </w:r>
            <w:r>
              <w:rPr>
                <w:rFonts w:ascii="Arial" w:eastAsia="Times New Roman" w:hAnsi="Arial" w:cs="Arial"/>
                <w:color w:val="000000"/>
              </w:rPr>
              <w:t>927</w:t>
            </w:r>
            <w:r w:rsidR="002B6AB1">
              <w:rPr>
                <w:rFonts w:ascii="Arial" w:eastAsia="Times New Roman" w:hAnsi="Arial" w:cs="Arial"/>
                <w:color w:val="000000"/>
              </w:rPr>
              <w:t>.</w:t>
            </w:r>
            <w:r>
              <w:rPr>
                <w:rFonts w:ascii="Arial" w:eastAsia="Times New Roman" w:hAnsi="Arial" w:cs="Arial"/>
                <w:color w:val="000000"/>
              </w:rPr>
              <w:t>04</w:t>
            </w:r>
          </w:p>
        </w:tc>
      </w:tr>
      <w:tr w:rsidR="007A290C" w:rsidRPr="000A5771" w14:paraId="1EC896E7" w14:textId="77777777" w:rsidTr="00C16B7E">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C4F111"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5</w:t>
            </w:r>
          </w:p>
        </w:tc>
        <w:tc>
          <w:tcPr>
            <w:tcW w:w="62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60CB13"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Additional requirements, of which</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4B5B970F"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13BEEE4C"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r>
      <w:tr w:rsidR="007A290C" w:rsidRPr="000A5771" w14:paraId="2BEAF71E" w14:textId="77777777" w:rsidTr="007A290C">
        <w:trPr>
          <w:trHeight w:val="9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E5BA"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w:t>
            </w:r>
            <w:proofErr w:type="spellStart"/>
            <w:r w:rsidRPr="000A5771">
              <w:rPr>
                <w:rFonts w:ascii="Arial" w:eastAsia="Times New Roman" w:hAnsi="Arial" w:cs="Arial"/>
                <w:b/>
                <w:bCs/>
                <w:color w:val="000000"/>
              </w:rPr>
              <w:t>i</w:t>
            </w:r>
            <w:proofErr w:type="spellEnd"/>
            <w:r w:rsidRPr="000A5771">
              <w:rPr>
                <w:rFonts w:ascii="Arial" w:eastAsia="Times New Roman" w:hAnsi="Arial" w:cs="Arial"/>
                <w:b/>
                <w:bCs/>
                <w:color w:val="000000"/>
              </w:rPr>
              <w:t>)</w:t>
            </w:r>
          </w:p>
        </w:tc>
        <w:tc>
          <w:tcPr>
            <w:tcW w:w="6259" w:type="dxa"/>
            <w:tcBorders>
              <w:top w:val="single" w:sz="4" w:space="0" w:color="auto"/>
              <w:left w:val="nil"/>
              <w:bottom w:val="single" w:sz="4" w:space="0" w:color="auto"/>
              <w:right w:val="single" w:sz="4" w:space="0" w:color="auto"/>
            </w:tcBorders>
            <w:shd w:val="clear" w:color="auto" w:fill="auto"/>
            <w:vAlign w:val="center"/>
            <w:hideMark/>
          </w:tcPr>
          <w:p w14:paraId="30E6C0D3" w14:textId="77777777" w:rsidR="007A290C" w:rsidRPr="000A5771" w:rsidRDefault="007A290C" w:rsidP="007A290C">
            <w:pPr>
              <w:spacing w:after="0" w:line="240" w:lineRule="auto"/>
              <w:rPr>
                <w:rFonts w:ascii="Arial" w:eastAsia="Times New Roman" w:hAnsi="Arial" w:cs="Arial"/>
                <w:i/>
                <w:iCs/>
                <w:color w:val="000000"/>
              </w:rPr>
            </w:pPr>
            <w:r w:rsidRPr="000A5771">
              <w:rPr>
                <w:rFonts w:ascii="Arial" w:eastAsia="Times New Roman" w:hAnsi="Arial" w:cs="Arial"/>
                <w:i/>
                <w:iCs/>
                <w:color w:val="000000"/>
              </w:rPr>
              <w:t>Outflows related to derivative exposures and other collateral requirements</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1F803798"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14E18D00"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r>
      <w:tr w:rsidR="007A290C" w:rsidRPr="000A5771" w14:paraId="576E008E"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01703A0"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(ii)</w:t>
            </w:r>
          </w:p>
        </w:tc>
        <w:tc>
          <w:tcPr>
            <w:tcW w:w="6259" w:type="dxa"/>
            <w:tcBorders>
              <w:top w:val="nil"/>
              <w:left w:val="nil"/>
              <w:bottom w:val="single" w:sz="4" w:space="0" w:color="auto"/>
              <w:right w:val="single" w:sz="4" w:space="0" w:color="auto"/>
            </w:tcBorders>
            <w:shd w:val="clear" w:color="auto" w:fill="auto"/>
            <w:noWrap/>
            <w:vAlign w:val="center"/>
            <w:hideMark/>
          </w:tcPr>
          <w:p w14:paraId="3DF30723" w14:textId="77777777" w:rsidR="007A290C" w:rsidRPr="000A5771" w:rsidRDefault="007A290C" w:rsidP="007A290C">
            <w:pPr>
              <w:spacing w:after="0" w:line="240" w:lineRule="auto"/>
              <w:rPr>
                <w:rFonts w:ascii="Arial" w:eastAsia="Times New Roman" w:hAnsi="Arial" w:cs="Arial"/>
                <w:i/>
                <w:iCs/>
                <w:color w:val="000000"/>
              </w:rPr>
            </w:pPr>
            <w:r w:rsidRPr="000A5771">
              <w:rPr>
                <w:rFonts w:ascii="Arial" w:eastAsia="Times New Roman" w:hAnsi="Arial" w:cs="Arial"/>
                <w:i/>
                <w:iCs/>
                <w:color w:val="000000"/>
              </w:rPr>
              <w:t>Outflows related to loss of funding on debt products</w:t>
            </w:r>
          </w:p>
        </w:tc>
        <w:tc>
          <w:tcPr>
            <w:tcW w:w="2269" w:type="dxa"/>
            <w:tcBorders>
              <w:top w:val="nil"/>
              <w:left w:val="nil"/>
              <w:bottom w:val="single" w:sz="4" w:space="0" w:color="auto"/>
              <w:right w:val="single" w:sz="4" w:space="0" w:color="auto"/>
            </w:tcBorders>
            <w:shd w:val="clear" w:color="auto" w:fill="auto"/>
            <w:noWrap/>
            <w:vAlign w:val="center"/>
            <w:hideMark/>
          </w:tcPr>
          <w:p w14:paraId="2F65A6DA"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69BECA91"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r>
      <w:tr w:rsidR="007A290C" w:rsidRPr="000A5771" w14:paraId="067122AD"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218264C"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(iii)</w:t>
            </w:r>
          </w:p>
        </w:tc>
        <w:tc>
          <w:tcPr>
            <w:tcW w:w="6259" w:type="dxa"/>
            <w:tcBorders>
              <w:top w:val="nil"/>
              <w:left w:val="nil"/>
              <w:bottom w:val="single" w:sz="4" w:space="0" w:color="auto"/>
              <w:right w:val="single" w:sz="4" w:space="0" w:color="auto"/>
            </w:tcBorders>
            <w:shd w:val="clear" w:color="auto" w:fill="auto"/>
            <w:noWrap/>
            <w:vAlign w:val="center"/>
            <w:hideMark/>
          </w:tcPr>
          <w:p w14:paraId="6381FBDD" w14:textId="77777777" w:rsidR="007A290C" w:rsidRPr="000A5771" w:rsidRDefault="007A290C" w:rsidP="007A290C">
            <w:pPr>
              <w:spacing w:after="0" w:line="240" w:lineRule="auto"/>
              <w:rPr>
                <w:rFonts w:ascii="Arial" w:eastAsia="Times New Roman" w:hAnsi="Arial" w:cs="Arial"/>
                <w:i/>
                <w:iCs/>
                <w:color w:val="000000"/>
              </w:rPr>
            </w:pPr>
            <w:r w:rsidRPr="000A5771">
              <w:rPr>
                <w:rFonts w:ascii="Arial" w:eastAsia="Times New Roman" w:hAnsi="Arial" w:cs="Arial"/>
                <w:i/>
                <w:iCs/>
                <w:color w:val="000000"/>
              </w:rPr>
              <w:t>Credit and liquidity facilities</w:t>
            </w:r>
          </w:p>
        </w:tc>
        <w:tc>
          <w:tcPr>
            <w:tcW w:w="2269" w:type="dxa"/>
            <w:tcBorders>
              <w:top w:val="nil"/>
              <w:left w:val="nil"/>
              <w:bottom w:val="single" w:sz="4" w:space="0" w:color="auto"/>
              <w:right w:val="single" w:sz="4" w:space="0" w:color="auto"/>
            </w:tcBorders>
            <w:shd w:val="clear" w:color="auto" w:fill="auto"/>
            <w:noWrap/>
            <w:vAlign w:val="center"/>
            <w:hideMark/>
          </w:tcPr>
          <w:p w14:paraId="0CA8275A"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c>
          <w:tcPr>
            <w:tcW w:w="1988" w:type="dxa"/>
            <w:tcBorders>
              <w:top w:val="nil"/>
              <w:left w:val="nil"/>
              <w:bottom w:val="single" w:sz="4" w:space="0" w:color="auto"/>
              <w:right w:val="single" w:sz="4" w:space="0" w:color="auto"/>
            </w:tcBorders>
            <w:shd w:val="clear" w:color="auto" w:fill="auto"/>
            <w:noWrap/>
            <w:vAlign w:val="center"/>
            <w:hideMark/>
          </w:tcPr>
          <w:p w14:paraId="29FA67E9"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w:t>
            </w:r>
          </w:p>
        </w:tc>
      </w:tr>
      <w:tr w:rsidR="007A290C" w:rsidRPr="000A5771" w14:paraId="58FD49CD"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4BEFD5"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6</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253CA5EF"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Other contractual funding obligations</w:t>
            </w:r>
          </w:p>
        </w:tc>
        <w:tc>
          <w:tcPr>
            <w:tcW w:w="2269" w:type="dxa"/>
            <w:tcBorders>
              <w:top w:val="nil"/>
              <w:left w:val="nil"/>
              <w:bottom w:val="single" w:sz="4" w:space="0" w:color="auto"/>
              <w:right w:val="single" w:sz="4" w:space="0" w:color="auto"/>
            </w:tcBorders>
            <w:shd w:val="clear" w:color="auto" w:fill="auto"/>
            <w:noWrap/>
            <w:vAlign w:val="center"/>
            <w:hideMark/>
          </w:tcPr>
          <w:p w14:paraId="22B6765A" w14:textId="6823B828" w:rsidR="007A290C" w:rsidRPr="000A5771" w:rsidRDefault="006D1D14"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8</w:t>
            </w:r>
            <w:r w:rsidR="00902EC5">
              <w:rPr>
                <w:rFonts w:ascii="Arial" w:eastAsia="Times New Roman" w:hAnsi="Arial" w:cs="Arial"/>
                <w:color w:val="000000"/>
              </w:rPr>
              <w:t>7</w:t>
            </w:r>
            <w:r w:rsidR="00D02174">
              <w:rPr>
                <w:rFonts w:ascii="Arial" w:eastAsia="Times New Roman" w:hAnsi="Arial" w:cs="Arial"/>
                <w:color w:val="000000"/>
              </w:rPr>
              <w:t>7</w:t>
            </w:r>
            <w:r w:rsidRPr="000A5771">
              <w:rPr>
                <w:rFonts w:ascii="Arial" w:eastAsia="Times New Roman" w:hAnsi="Arial" w:cs="Arial"/>
                <w:color w:val="000000"/>
              </w:rPr>
              <w:t>.</w:t>
            </w:r>
            <w:r w:rsidR="00D02174">
              <w:rPr>
                <w:rFonts w:ascii="Arial" w:eastAsia="Times New Roman" w:hAnsi="Arial" w:cs="Arial"/>
                <w:color w:val="000000"/>
              </w:rPr>
              <w:t>65</w:t>
            </w:r>
          </w:p>
        </w:tc>
        <w:tc>
          <w:tcPr>
            <w:tcW w:w="1988" w:type="dxa"/>
            <w:tcBorders>
              <w:top w:val="nil"/>
              <w:left w:val="nil"/>
              <w:bottom w:val="single" w:sz="4" w:space="0" w:color="auto"/>
              <w:right w:val="single" w:sz="4" w:space="0" w:color="auto"/>
            </w:tcBorders>
            <w:shd w:val="clear" w:color="auto" w:fill="auto"/>
            <w:noWrap/>
            <w:vAlign w:val="center"/>
            <w:hideMark/>
          </w:tcPr>
          <w:p w14:paraId="4CE71AD5" w14:textId="63F25C4C" w:rsidR="007A290C" w:rsidRPr="000A5771" w:rsidRDefault="00902EC5" w:rsidP="007A290C">
            <w:pPr>
              <w:spacing w:after="0" w:line="240" w:lineRule="auto"/>
              <w:jc w:val="center"/>
              <w:rPr>
                <w:rFonts w:ascii="Arial" w:eastAsia="Times New Roman" w:hAnsi="Arial" w:cs="Arial"/>
                <w:color w:val="000000"/>
              </w:rPr>
            </w:pPr>
            <w:r>
              <w:rPr>
                <w:rFonts w:ascii="Arial" w:eastAsia="Times New Roman" w:hAnsi="Arial" w:cs="Arial"/>
                <w:color w:val="000000"/>
              </w:rPr>
              <w:t>1</w:t>
            </w:r>
            <w:r w:rsidR="000058E2">
              <w:rPr>
                <w:rFonts w:ascii="Arial" w:eastAsia="Times New Roman" w:hAnsi="Arial" w:cs="Arial"/>
                <w:color w:val="000000"/>
              </w:rPr>
              <w:t>,</w:t>
            </w:r>
            <w:bookmarkStart w:id="0" w:name="_GoBack"/>
            <w:bookmarkEnd w:id="0"/>
            <w:r>
              <w:rPr>
                <w:rFonts w:ascii="Arial" w:eastAsia="Times New Roman" w:hAnsi="Arial" w:cs="Arial"/>
                <w:color w:val="000000"/>
              </w:rPr>
              <w:t>00</w:t>
            </w:r>
            <w:r w:rsidR="00D02174">
              <w:rPr>
                <w:rFonts w:ascii="Arial" w:eastAsia="Times New Roman" w:hAnsi="Arial" w:cs="Arial"/>
                <w:color w:val="000000"/>
              </w:rPr>
              <w:t>9</w:t>
            </w:r>
            <w:r w:rsidR="006D1D14" w:rsidRPr="000A5771">
              <w:rPr>
                <w:rFonts w:ascii="Arial" w:eastAsia="Times New Roman" w:hAnsi="Arial" w:cs="Arial"/>
                <w:color w:val="000000"/>
              </w:rPr>
              <w:t>.</w:t>
            </w:r>
            <w:r w:rsidR="00D02174">
              <w:rPr>
                <w:rFonts w:ascii="Arial" w:eastAsia="Times New Roman" w:hAnsi="Arial" w:cs="Arial"/>
                <w:color w:val="000000"/>
              </w:rPr>
              <w:t>29</w:t>
            </w:r>
          </w:p>
        </w:tc>
      </w:tr>
      <w:tr w:rsidR="007A290C" w:rsidRPr="000A5771" w14:paraId="177604A6"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0510F2"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7</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7D4BA"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Other contingent funding obligations</w:t>
            </w:r>
          </w:p>
        </w:tc>
        <w:tc>
          <w:tcPr>
            <w:tcW w:w="2269" w:type="dxa"/>
            <w:tcBorders>
              <w:top w:val="nil"/>
              <w:left w:val="nil"/>
              <w:bottom w:val="single" w:sz="4" w:space="0" w:color="auto"/>
              <w:right w:val="single" w:sz="4" w:space="0" w:color="auto"/>
            </w:tcBorders>
            <w:shd w:val="clear" w:color="auto" w:fill="auto"/>
            <w:noWrap/>
            <w:vAlign w:val="center"/>
            <w:hideMark/>
          </w:tcPr>
          <w:p w14:paraId="3B58C1FB" w14:textId="746236B6" w:rsidR="007A290C" w:rsidRPr="000A5771" w:rsidRDefault="00902EC5" w:rsidP="007A290C">
            <w:pPr>
              <w:spacing w:after="0" w:line="240" w:lineRule="auto"/>
              <w:jc w:val="center"/>
              <w:rPr>
                <w:rFonts w:ascii="Arial" w:eastAsia="Times New Roman" w:hAnsi="Arial" w:cs="Arial"/>
                <w:color w:val="000000"/>
              </w:rPr>
            </w:pPr>
            <w:r>
              <w:rPr>
                <w:rFonts w:ascii="Arial" w:eastAsia="Times New Roman" w:hAnsi="Arial" w:cs="Arial"/>
                <w:color w:val="000000"/>
              </w:rPr>
              <w:t>66</w:t>
            </w:r>
            <w:r w:rsidR="002B6AB1">
              <w:rPr>
                <w:rFonts w:ascii="Arial" w:eastAsia="Times New Roman" w:hAnsi="Arial" w:cs="Arial"/>
                <w:color w:val="000000"/>
              </w:rPr>
              <w:t>.</w:t>
            </w:r>
            <w:r>
              <w:rPr>
                <w:rFonts w:ascii="Arial" w:eastAsia="Times New Roman" w:hAnsi="Arial" w:cs="Arial"/>
                <w:color w:val="000000"/>
              </w:rPr>
              <w:t>52</w:t>
            </w:r>
          </w:p>
        </w:tc>
        <w:tc>
          <w:tcPr>
            <w:tcW w:w="1988" w:type="dxa"/>
            <w:tcBorders>
              <w:top w:val="nil"/>
              <w:left w:val="nil"/>
              <w:bottom w:val="single" w:sz="4" w:space="0" w:color="auto"/>
              <w:right w:val="single" w:sz="4" w:space="0" w:color="auto"/>
            </w:tcBorders>
            <w:shd w:val="clear" w:color="auto" w:fill="auto"/>
            <w:noWrap/>
            <w:vAlign w:val="center"/>
            <w:hideMark/>
          </w:tcPr>
          <w:p w14:paraId="57168EED" w14:textId="108013FC" w:rsidR="007A290C" w:rsidRPr="000A5771" w:rsidRDefault="00902EC5" w:rsidP="007A290C">
            <w:pPr>
              <w:spacing w:after="0" w:line="240" w:lineRule="auto"/>
              <w:jc w:val="center"/>
              <w:rPr>
                <w:rFonts w:ascii="Arial" w:eastAsia="Times New Roman" w:hAnsi="Arial" w:cs="Arial"/>
                <w:color w:val="000000"/>
              </w:rPr>
            </w:pPr>
            <w:r>
              <w:rPr>
                <w:rFonts w:ascii="Arial" w:eastAsia="Times New Roman" w:hAnsi="Arial" w:cs="Arial"/>
                <w:color w:val="000000"/>
              </w:rPr>
              <w:t>76</w:t>
            </w:r>
            <w:r w:rsidR="006052FC" w:rsidRPr="000A5771">
              <w:rPr>
                <w:rFonts w:ascii="Arial" w:eastAsia="Times New Roman" w:hAnsi="Arial" w:cs="Arial"/>
                <w:color w:val="000000"/>
              </w:rPr>
              <w:t>.</w:t>
            </w:r>
            <w:r>
              <w:rPr>
                <w:rFonts w:ascii="Arial" w:eastAsia="Times New Roman" w:hAnsi="Arial" w:cs="Arial"/>
                <w:color w:val="000000"/>
              </w:rPr>
              <w:t>49</w:t>
            </w:r>
          </w:p>
        </w:tc>
      </w:tr>
      <w:tr w:rsidR="007A290C" w:rsidRPr="000A5771" w14:paraId="02E75255"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9D1306"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8</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5EF81EF"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TOTAL CASH OUTFLOWS</w:t>
            </w:r>
          </w:p>
        </w:tc>
        <w:tc>
          <w:tcPr>
            <w:tcW w:w="2269" w:type="dxa"/>
            <w:tcBorders>
              <w:top w:val="nil"/>
              <w:left w:val="nil"/>
              <w:bottom w:val="single" w:sz="4" w:space="0" w:color="auto"/>
              <w:right w:val="single" w:sz="4" w:space="0" w:color="auto"/>
            </w:tcBorders>
            <w:shd w:val="clear" w:color="auto" w:fill="auto"/>
            <w:noWrap/>
            <w:vAlign w:val="center"/>
            <w:hideMark/>
          </w:tcPr>
          <w:p w14:paraId="20585C82" w14:textId="6E9D281C" w:rsidR="007A290C" w:rsidRPr="000A5771" w:rsidRDefault="006052FC" w:rsidP="00BB37FA">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4,</w:t>
            </w:r>
            <w:r w:rsidR="00902EC5">
              <w:rPr>
                <w:rFonts w:ascii="Arial" w:eastAsia="Times New Roman" w:hAnsi="Arial" w:cs="Arial"/>
                <w:b/>
                <w:bCs/>
                <w:color w:val="000000"/>
              </w:rPr>
              <w:t>83</w:t>
            </w:r>
            <w:r w:rsidR="00D02174">
              <w:rPr>
                <w:rFonts w:ascii="Arial" w:eastAsia="Times New Roman" w:hAnsi="Arial" w:cs="Arial"/>
                <w:b/>
                <w:bCs/>
                <w:color w:val="000000"/>
              </w:rPr>
              <w:t>6</w:t>
            </w:r>
            <w:r w:rsidR="00427436" w:rsidRPr="000A5771">
              <w:rPr>
                <w:rFonts w:ascii="Arial" w:eastAsia="Times New Roman" w:hAnsi="Arial" w:cs="Arial"/>
                <w:b/>
                <w:bCs/>
                <w:color w:val="000000"/>
              </w:rPr>
              <w:t>.</w:t>
            </w:r>
            <w:r w:rsidR="00D02174">
              <w:rPr>
                <w:rFonts w:ascii="Arial" w:eastAsia="Times New Roman" w:hAnsi="Arial" w:cs="Arial"/>
                <w:b/>
                <w:bCs/>
                <w:color w:val="000000"/>
              </w:rPr>
              <w:t>70</w:t>
            </w:r>
          </w:p>
        </w:tc>
        <w:tc>
          <w:tcPr>
            <w:tcW w:w="1988" w:type="dxa"/>
            <w:tcBorders>
              <w:top w:val="nil"/>
              <w:left w:val="nil"/>
              <w:bottom w:val="single" w:sz="4" w:space="0" w:color="auto"/>
              <w:right w:val="single" w:sz="4" w:space="0" w:color="auto"/>
            </w:tcBorders>
            <w:shd w:val="clear" w:color="auto" w:fill="auto"/>
            <w:noWrap/>
            <w:vAlign w:val="center"/>
            <w:hideMark/>
          </w:tcPr>
          <w:p w14:paraId="78E1A0EB" w14:textId="4106DDE5" w:rsidR="007A290C" w:rsidRPr="000A5771" w:rsidRDefault="006052F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5,</w:t>
            </w:r>
            <w:r w:rsidR="00902EC5">
              <w:rPr>
                <w:rFonts w:ascii="Arial" w:eastAsia="Times New Roman" w:hAnsi="Arial" w:cs="Arial"/>
                <w:b/>
                <w:bCs/>
                <w:color w:val="000000"/>
              </w:rPr>
              <w:t>5</w:t>
            </w:r>
            <w:r w:rsidR="00D02174">
              <w:rPr>
                <w:rFonts w:ascii="Arial" w:eastAsia="Times New Roman" w:hAnsi="Arial" w:cs="Arial"/>
                <w:b/>
                <w:bCs/>
                <w:color w:val="000000"/>
              </w:rPr>
              <w:t>62</w:t>
            </w:r>
            <w:r w:rsidR="00BB6E04" w:rsidRPr="000A5771">
              <w:rPr>
                <w:rFonts w:ascii="Arial" w:eastAsia="Times New Roman" w:hAnsi="Arial" w:cs="Arial"/>
                <w:b/>
                <w:bCs/>
                <w:color w:val="000000"/>
              </w:rPr>
              <w:t>.</w:t>
            </w:r>
            <w:r w:rsidR="00D02174">
              <w:rPr>
                <w:rFonts w:ascii="Arial" w:eastAsia="Times New Roman" w:hAnsi="Arial" w:cs="Arial"/>
                <w:b/>
                <w:bCs/>
                <w:color w:val="000000"/>
              </w:rPr>
              <w:t>19</w:t>
            </w:r>
          </w:p>
        </w:tc>
      </w:tr>
      <w:tr w:rsidR="007A290C" w:rsidRPr="000A5771" w14:paraId="778EC1D1" w14:textId="77777777" w:rsidTr="008D743B">
        <w:trPr>
          <w:trHeight w:val="300"/>
        </w:trPr>
        <w:tc>
          <w:tcPr>
            <w:tcW w:w="11062"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F4E3D33" w14:textId="77777777" w:rsidR="007A290C" w:rsidRPr="000A5771" w:rsidRDefault="007A290C" w:rsidP="00BB37FA">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 Cash Inflows </w:t>
            </w:r>
          </w:p>
        </w:tc>
      </w:tr>
      <w:tr w:rsidR="007A290C" w:rsidRPr="000A5771" w14:paraId="410B9EDB"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AAE5C3F"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9</w:t>
            </w:r>
          </w:p>
        </w:tc>
        <w:tc>
          <w:tcPr>
            <w:tcW w:w="6259" w:type="dxa"/>
            <w:tcBorders>
              <w:top w:val="nil"/>
              <w:left w:val="nil"/>
              <w:bottom w:val="single" w:sz="4" w:space="0" w:color="auto"/>
              <w:right w:val="single" w:sz="4" w:space="0" w:color="auto"/>
            </w:tcBorders>
            <w:shd w:val="clear" w:color="auto" w:fill="auto"/>
            <w:noWrap/>
            <w:vAlign w:val="center"/>
            <w:hideMark/>
          </w:tcPr>
          <w:p w14:paraId="4E15B753"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Secured lending</w:t>
            </w:r>
          </w:p>
        </w:tc>
        <w:tc>
          <w:tcPr>
            <w:tcW w:w="2269" w:type="dxa"/>
            <w:tcBorders>
              <w:top w:val="nil"/>
              <w:left w:val="nil"/>
              <w:bottom w:val="single" w:sz="4" w:space="0" w:color="auto"/>
              <w:right w:val="single" w:sz="4" w:space="0" w:color="auto"/>
            </w:tcBorders>
            <w:shd w:val="clear" w:color="auto" w:fill="auto"/>
            <w:noWrap/>
            <w:vAlign w:val="center"/>
            <w:hideMark/>
          </w:tcPr>
          <w:p w14:paraId="3226CE35"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15C1A60B"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r>
      <w:tr w:rsidR="007A290C" w:rsidRPr="000A5771" w14:paraId="07FDA1B8"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5DA0D80"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10</w:t>
            </w:r>
          </w:p>
        </w:tc>
        <w:tc>
          <w:tcPr>
            <w:tcW w:w="6259" w:type="dxa"/>
            <w:tcBorders>
              <w:top w:val="nil"/>
              <w:left w:val="nil"/>
              <w:bottom w:val="single" w:sz="4" w:space="0" w:color="auto"/>
              <w:right w:val="single" w:sz="4" w:space="0" w:color="auto"/>
            </w:tcBorders>
            <w:shd w:val="clear" w:color="auto" w:fill="auto"/>
            <w:noWrap/>
            <w:vAlign w:val="center"/>
            <w:hideMark/>
          </w:tcPr>
          <w:p w14:paraId="4944CE74"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Inflows from fully performing exposures</w:t>
            </w:r>
          </w:p>
        </w:tc>
        <w:tc>
          <w:tcPr>
            <w:tcW w:w="2269" w:type="dxa"/>
            <w:tcBorders>
              <w:top w:val="nil"/>
              <w:left w:val="nil"/>
              <w:bottom w:val="single" w:sz="4" w:space="0" w:color="auto"/>
              <w:right w:val="single" w:sz="4" w:space="0" w:color="auto"/>
            </w:tcBorders>
            <w:shd w:val="clear" w:color="auto" w:fill="auto"/>
            <w:noWrap/>
            <w:vAlign w:val="center"/>
            <w:hideMark/>
          </w:tcPr>
          <w:p w14:paraId="6FB101CB" w14:textId="18C74787" w:rsidR="007A290C" w:rsidRPr="000A5771" w:rsidRDefault="006052F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2,</w:t>
            </w:r>
            <w:r w:rsidR="00902EC5">
              <w:rPr>
                <w:rFonts w:ascii="Arial" w:eastAsia="Times New Roman" w:hAnsi="Arial" w:cs="Arial"/>
                <w:color w:val="000000"/>
              </w:rPr>
              <w:t>234</w:t>
            </w:r>
            <w:r w:rsidR="00BF79C8" w:rsidRPr="000A5771">
              <w:rPr>
                <w:rFonts w:ascii="Arial" w:eastAsia="Times New Roman" w:hAnsi="Arial" w:cs="Arial"/>
                <w:color w:val="000000"/>
              </w:rPr>
              <w:t>.</w:t>
            </w:r>
            <w:r w:rsidR="002B6AB1">
              <w:rPr>
                <w:rFonts w:ascii="Arial" w:eastAsia="Times New Roman" w:hAnsi="Arial" w:cs="Arial"/>
                <w:color w:val="000000"/>
              </w:rPr>
              <w:t>7</w:t>
            </w:r>
            <w:r w:rsidR="00902EC5">
              <w:rPr>
                <w:rFonts w:ascii="Arial" w:eastAsia="Times New Roman" w:hAnsi="Arial" w:cs="Arial"/>
                <w:color w:val="000000"/>
              </w:rPr>
              <w:t>7</w:t>
            </w:r>
          </w:p>
        </w:tc>
        <w:tc>
          <w:tcPr>
            <w:tcW w:w="1988" w:type="dxa"/>
            <w:tcBorders>
              <w:top w:val="nil"/>
              <w:left w:val="nil"/>
              <w:bottom w:val="single" w:sz="4" w:space="0" w:color="auto"/>
              <w:right w:val="single" w:sz="4" w:space="0" w:color="auto"/>
            </w:tcBorders>
            <w:shd w:val="clear" w:color="auto" w:fill="auto"/>
            <w:noWrap/>
            <w:vAlign w:val="center"/>
            <w:hideMark/>
          </w:tcPr>
          <w:p w14:paraId="749EB7C9" w14:textId="5B8D4D3F" w:rsidR="007A290C" w:rsidRPr="000A5771" w:rsidRDefault="00BB6E04"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1,</w:t>
            </w:r>
            <w:r w:rsidR="00902EC5">
              <w:rPr>
                <w:rFonts w:ascii="Arial" w:eastAsia="Times New Roman" w:hAnsi="Arial" w:cs="Arial"/>
                <w:color w:val="000000"/>
              </w:rPr>
              <w:t>676</w:t>
            </w:r>
            <w:r w:rsidRPr="000A5771">
              <w:rPr>
                <w:rFonts w:ascii="Arial" w:eastAsia="Times New Roman" w:hAnsi="Arial" w:cs="Arial"/>
                <w:color w:val="000000"/>
              </w:rPr>
              <w:t>.</w:t>
            </w:r>
            <w:r w:rsidR="002B6AB1">
              <w:rPr>
                <w:rFonts w:ascii="Arial" w:eastAsia="Times New Roman" w:hAnsi="Arial" w:cs="Arial"/>
                <w:color w:val="000000"/>
              </w:rPr>
              <w:t>0</w:t>
            </w:r>
            <w:r w:rsidR="00902EC5">
              <w:rPr>
                <w:rFonts w:ascii="Arial" w:eastAsia="Times New Roman" w:hAnsi="Arial" w:cs="Arial"/>
                <w:color w:val="000000"/>
              </w:rPr>
              <w:t>7</w:t>
            </w:r>
          </w:p>
        </w:tc>
      </w:tr>
      <w:tr w:rsidR="007A290C" w:rsidRPr="000A5771" w14:paraId="1AB691CA" w14:textId="77777777" w:rsidTr="00D1563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831C186"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lastRenderedPageBreak/>
              <w:t>11</w:t>
            </w:r>
          </w:p>
        </w:tc>
        <w:tc>
          <w:tcPr>
            <w:tcW w:w="6259" w:type="dxa"/>
            <w:tcBorders>
              <w:top w:val="nil"/>
              <w:left w:val="nil"/>
              <w:bottom w:val="single" w:sz="4" w:space="0" w:color="auto"/>
              <w:right w:val="single" w:sz="4" w:space="0" w:color="auto"/>
            </w:tcBorders>
            <w:shd w:val="clear" w:color="auto" w:fill="auto"/>
            <w:noWrap/>
            <w:vAlign w:val="center"/>
            <w:hideMark/>
          </w:tcPr>
          <w:p w14:paraId="17D9F591" w14:textId="77777777" w:rsidR="007A290C" w:rsidRPr="000A5771" w:rsidRDefault="007A290C" w:rsidP="007A290C">
            <w:pPr>
              <w:spacing w:after="0" w:line="240" w:lineRule="auto"/>
              <w:rPr>
                <w:rFonts w:ascii="Arial" w:eastAsia="Times New Roman" w:hAnsi="Arial" w:cs="Arial"/>
                <w:color w:val="000000"/>
              </w:rPr>
            </w:pPr>
            <w:r w:rsidRPr="000A5771">
              <w:rPr>
                <w:rFonts w:ascii="Arial" w:eastAsia="Times New Roman" w:hAnsi="Arial" w:cs="Arial"/>
                <w:color w:val="000000"/>
              </w:rPr>
              <w:t>Other cash inflows</w:t>
            </w:r>
            <w:r w:rsidRPr="000A5771">
              <w:rPr>
                <w:rFonts w:ascii="Arial" w:eastAsia="Times New Roman" w:hAnsi="Arial" w:cs="Arial"/>
                <w:color w:val="000000"/>
                <w:vertAlign w:val="superscript"/>
              </w:rPr>
              <w:t>3</w:t>
            </w:r>
          </w:p>
        </w:tc>
        <w:tc>
          <w:tcPr>
            <w:tcW w:w="2269" w:type="dxa"/>
            <w:tcBorders>
              <w:top w:val="nil"/>
              <w:left w:val="nil"/>
              <w:bottom w:val="single" w:sz="4" w:space="0" w:color="auto"/>
              <w:right w:val="single" w:sz="4" w:space="0" w:color="auto"/>
            </w:tcBorders>
            <w:shd w:val="clear" w:color="auto" w:fill="auto"/>
            <w:noWrap/>
            <w:vAlign w:val="center"/>
          </w:tcPr>
          <w:p w14:paraId="1FAE84E2" w14:textId="70F28171" w:rsidR="007A290C" w:rsidRPr="000A5771" w:rsidRDefault="00902EC5" w:rsidP="00142F62">
            <w:pPr>
              <w:spacing w:after="0" w:line="240" w:lineRule="auto"/>
              <w:jc w:val="center"/>
              <w:rPr>
                <w:rFonts w:ascii="Arial" w:eastAsia="Times New Roman" w:hAnsi="Arial" w:cs="Arial"/>
                <w:color w:val="000000"/>
              </w:rPr>
            </w:pPr>
            <w:r>
              <w:rPr>
                <w:rFonts w:ascii="Arial" w:eastAsia="Times New Roman" w:hAnsi="Arial" w:cs="Arial"/>
                <w:color w:val="000000"/>
              </w:rPr>
              <w:t>2</w:t>
            </w:r>
            <w:r w:rsidR="00BB6E04" w:rsidRPr="000A5771">
              <w:rPr>
                <w:rFonts w:ascii="Arial" w:eastAsia="Times New Roman" w:hAnsi="Arial" w:cs="Arial"/>
                <w:color w:val="000000"/>
              </w:rPr>
              <w:t>1,</w:t>
            </w:r>
            <w:r>
              <w:rPr>
                <w:rFonts w:ascii="Arial" w:eastAsia="Times New Roman" w:hAnsi="Arial" w:cs="Arial"/>
                <w:color w:val="000000"/>
              </w:rPr>
              <w:t>639</w:t>
            </w:r>
            <w:r w:rsidR="002B6AB1">
              <w:rPr>
                <w:rFonts w:ascii="Arial" w:eastAsia="Times New Roman" w:hAnsi="Arial" w:cs="Arial"/>
                <w:color w:val="000000"/>
              </w:rPr>
              <w:t>.</w:t>
            </w:r>
            <w:r>
              <w:rPr>
                <w:rFonts w:ascii="Arial" w:eastAsia="Times New Roman" w:hAnsi="Arial" w:cs="Arial"/>
                <w:color w:val="000000"/>
              </w:rPr>
              <w:t>1</w:t>
            </w:r>
            <w:r w:rsidR="002B6AB1">
              <w:rPr>
                <w:rFonts w:ascii="Arial" w:eastAsia="Times New Roman" w:hAnsi="Arial" w:cs="Arial"/>
                <w:color w:val="000000"/>
              </w:rPr>
              <w:t>6</w:t>
            </w:r>
          </w:p>
        </w:tc>
        <w:tc>
          <w:tcPr>
            <w:tcW w:w="1988" w:type="dxa"/>
            <w:tcBorders>
              <w:top w:val="nil"/>
              <w:left w:val="nil"/>
              <w:bottom w:val="single" w:sz="4" w:space="0" w:color="auto"/>
              <w:right w:val="single" w:sz="4" w:space="0" w:color="auto"/>
            </w:tcBorders>
            <w:shd w:val="clear" w:color="auto" w:fill="auto"/>
            <w:noWrap/>
            <w:vAlign w:val="center"/>
          </w:tcPr>
          <w:p w14:paraId="052C9757" w14:textId="6CAA1E6D" w:rsidR="007A290C" w:rsidRPr="000A5771" w:rsidRDefault="006052F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1</w:t>
            </w:r>
            <w:r w:rsidR="00902EC5">
              <w:rPr>
                <w:rFonts w:ascii="Arial" w:eastAsia="Times New Roman" w:hAnsi="Arial" w:cs="Arial"/>
                <w:color w:val="000000"/>
              </w:rPr>
              <w:t>6</w:t>
            </w:r>
            <w:r w:rsidRPr="000A5771">
              <w:rPr>
                <w:rFonts w:ascii="Arial" w:eastAsia="Times New Roman" w:hAnsi="Arial" w:cs="Arial"/>
                <w:color w:val="000000"/>
              </w:rPr>
              <w:t>,</w:t>
            </w:r>
            <w:r w:rsidR="00902EC5">
              <w:rPr>
                <w:rFonts w:ascii="Arial" w:eastAsia="Times New Roman" w:hAnsi="Arial" w:cs="Arial"/>
                <w:color w:val="000000"/>
              </w:rPr>
              <w:t>229</w:t>
            </w:r>
            <w:r w:rsidR="00BB6E04" w:rsidRPr="000A5771">
              <w:rPr>
                <w:rFonts w:ascii="Arial" w:eastAsia="Times New Roman" w:hAnsi="Arial" w:cs="Arial"/>
                <w:color w:val="000000"/>
              </w:rPr>
              <w:t>.</w:t>
            </w:r>
            <w:r w:rsidR="00902EC5">
              <w:rPr>
                <w:rFonts w:ascii="Arial" w:eastAsia="Times New Roman" w:hAnsi="Arial" w:cs="Arial"/>
                <w:color w:val="000000"/>
              </w:rPr>
              <w:t>37</w:t>
            </w:r>
          </w:p>
        </w:tc>
      </w:tr>
      <w:tr w:rsidR="007A290C" w:rsidRPr="000A5771" w14:paraId="50A0143B"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38D5EBD" w14:textId="53A69221" w:rsidR="007A290C" w:rsidRPr="000A5771" w:rsidRDefault="00627ACE"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r w:rsidR="007A290C" w:rsidRPr="000A5771">
              <w:rPr>
                <w:rFonts w:ascii="Arial" w:eastAsia="Times New Roman" w:hAnsi="Arial" w:cs="Arial"/>
                <w:b/>
                <w:bCs/>
                <w:color w:val="000000"/>
              </w:rPr>
              <w:t>2</w:t>
            </w:r>
          </w:p>
        </w:tc>
        <w:tc>
          <w:tcPr>
            <w:tcW w:w="6259" w:type="dxa"/>
            <w:tcBorders>
              <w:top w:val="nil"/>
              <w:left w:val="nil"/>
              <w:bottom w:val="single" w:sz="4" w:space="0" w:color="auto"/>
              <w:right w:val="single" w:sz="4" w:space="0" w:color="auto"/>
            </w:tcBorders>
            <w:shd w:val="clear" w:color="auto" w:fill="auto"/>
            <w:noWrap/>
            <w:vAlign w:val="center"/>
            <w:hideMark/>
          </w:tcPr>
          <w:p w14:paraId="01783522"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TOTAL CASH INFLOWS</w:t>
            </w:r>
          </w:p>
        </w:tc>
        <w:tc>
          <w:tcPr>
            <w:tcW w:w="2269" w:type="dxa"/>
            <w:tcBorders>
              <w:top w:val="nil"/>
              <w:left w:val="nil"/>
              <w:bottom w:val="single" w:sz="4" w:space="0" w:color="auto"/>
              <w:right w:val="single" w:sz="4" w:space="0" w:color="auto"/>
            </w:tcBorders>
            <w:shd w:val="clear" w:color="auto" w:fill="auto"/>
            <w:noWrap/>
            <w:vAlign w:val="center"/>
            <w:hideMark/>
          </w:tcPr>
          <w:p w14:paraId="7B9AFCDD" w14:textId="710CAEDA" w:rsidR="007A290C" w:rsidRPr="000A5771" w:rsidRDefault="00902EC5" w:rsidP="007A290C">
            <w:pPr>
              <w:spacing w:after="0" w:line="240" w:lineRule="auto"/>
              <w:jc w:val="center"/>
              <w:rPr>
                <w:rFonts w:ascii="Arial" w:eastAsia="Times New Roman" w:hAnsi="Arial" w:cs="Arial"/>
                <w:b/>
                <w:bCs/>
                <w:color w:val="000000"/>
              </w:rPr>
            </w:pPr>
            <w:r>
              <w:rPr>
                <w:rFonts w:ascii="Arial" w:eastAsia="Times New Roman" w:hAnsi="Arial" w:cs="Arial"/>
                <w:b/>
                <w:bCs/>
                <w:color w:val="000000"/>
              </w:rPr>
              <w:t>23</w:t>
            </w:r>
            <w:r w:rsidR="00CF7D63" w:rsidRPr="000A5771">
              <w:rPr>
                <w:rFonts w:ascii="Arial" w:eastAsia="Times New Roman" w:hAnsi="Arial" w:cs="Arial"/>
                <w:b/>
                <w:bCs/>
                <w:color w:val="000000"/>
              </w:rPr>
              <w:t>,</w:t>
            </w:r>
            <w:r w:rsidR="002B6AB1">
              <w:rPr>
                <w:rFonts w:ascii="Arial" w:eastAsia="Times New Roman" w:hAnsi="Arial" w:cs="Arial"/>
                <w:b/>
                <w:bCs/>
                <w:color w:val="000000"/>
              </w:rPr>
              <w:t>87</w:t>
            </w:r>
            <w:r>
              <w:rPr>
                <w:rFonts w:ascii="Arial" w:eastAsia="Times New Roman" w:hAnsi="Arial" w:cs="Arial"/>
                <w:b/>
                <w:bCs/>
                <w:color w:val="000000"/>
              </w:rPr>
              <w:t>3</w:t>
            </w:r>
            <w:r w:rsidR="006D1D14" w:rsidRPr="000A5771">
              <w:rPr>
                <w:rFonts w:ascii="Arial" w:eastAsia="Times New Roman" w:hAnsi="Arial" w:cs="Arial"/>
                <w:b/>
                <w:bCs/>
                <w:color w:val="000000"/>
              </w:rPr>
              <w:t>.</w:t>
            </w:r>
            <w:r>
              <w:rPr>
                <w:rFonts w:ascii="Arial" w:eastAsia="Times New Roman" w:hAnsi="Arial" w:cs="Arial"/>
                <w:b/>
                <w:bCs/>
                <w:color w:val="000000"/>
              </w:rPr>
              <w:t>93</w:t>
            </w:r>
          </w:p>
        </w:tc>
        <w:tc>
          <w:tcPr>
            <w:tcW w:w="1988" w:type="dxa"/>
            <w:tcBorders>
              <w:top w:val="nil"/>
              <w:left w:val="nil"/>
              <w:bottom w:val="single" w:sz="4" w:space="0" w:color="auto"/>
              <w:right w:val="single" w:sz="4" w:space="0" w:color="auto"/>
            </w:tcBorders>
            <w:shd w:val="clear" w:color="auto" w:fill="auto"/>
            <w:noWrap/>
            <w:vAlign w:val="center"/>
            <w:hideMark/>
          </w:tcPr>
          <w:p w14:paraId="03E3AE3D" w14:textId="71757F86" w:rsidR="007A290C" w:rsidRPr="000A5771" w:rsidRDefault="006052F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r w:rsidR="00902EC5">
              <w:rPr>
                <w:rFonts w:ascii="Arial" w:eastAsia="Times New Roman" w:hAnsi="Arial" w:cs="Arial"/>
                <w:b/>
                <w:bCs/>
                <w:color w:val="000000"/>
              </w:rPr>
              <w:t>7</w:t>
            </w:r>
            <w:r w:rsidR="002B6AB1">
              <w:rPr>
                <w:rFonts w:ascii="Arial" w:eastAsia="Times New Roman" w:hAnsi="Arial" w:cs="Arial"/>
                <w:b/>
                <w:bCs/>
                <w:color w:val="000000"/>
              </w:rPr>
              <w:t>,</w:t>
            </w:r>
            <w:r w:rsidR="00902EC5">
              <w:rPr>
                <w:rFonts w:ascii="Arial" w:eastAsia="Times New Roman" w:hAnsi="Arial" w:cs="Arial"/>
                <w:b/>
                <w:bCs/>
                <w:color w:val="000000"/>
              </w:rPr>
              <w:t>905</w:t>
            </w:r>
            <w:r w:rsidR="00BB6E04" w:rsidRPr="000A5771">
              <w:rPr>
                <w:rFonts w:ascii="Arial" w:eastAsia="Times New Roman" w:hAnsi="Arial" w:cs="Arial"/>
                <w:b/>
                <w:bCs/>
                <w:color w:val="000000"/>
              </w:rPr>
              <w:t>.</w:t>
            </w:r>
            <w:r w:rsidR="00902EC5">
              <w:rPr>
                <w:rFonts w:ascii="Arial" w:eastAsia="Times New Roman" w:hAnsi="Arial" w:cs="Arial"/>
                <w:b/>
                <w:bCs/>
                <w:color w:val="000000"/>
              </w:rPr>
              <w:t>44</w:t>
            </w:r>
          </w:p>
        </w:tc>
      </w:tr>
      <w:tr w:rsidR="007A290C" w:rsidRPr="000A5771" w14:paraId="167D48C0"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834EC82"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 </w:t>
            </w:r>
          </w:p>
        </w:tc>
        <w:tc>
          <w:tcPr>
            <w:tcW w:w="6259" w:type="dxa"/>
            <w:tcBorders>
              <w:top w:val="nil"/>
              <w:left w:val="nil"/>
              <w:bottom w:val="single" w:sz="4" w:space="0" w:color="auto"/>
              <w:right w:val="single" w:sz="4" w:space="0" w:color="auto"/>
            </w:tcBorders>
            <w:shd w:val="clear" w:color="auto" w:fill="auto"/>
            <w:noWrap/>
            <w:vAlign w:val="center"/>
            <w:hideMark/>
          </w:tcPr>
          <w:p w14:paraId="1161FF3C"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 </w:t>
            </w:r>
          </w:p>
        </w:tc>
        <w:tc>
          <w:tcPr>
            <w:tcW w:w="2269" w:type="dxa"/>
            <w:tcBorders>
              <w:top w:val="nil"/>
              <w:left w:val="nil"/>
              <w:bottom w:val="single" w:sz="4" w:space="0" w:color="auto"/>
              <w:right w:val="single" w:sz="4" w:space="0" w:color="auto"/>
            </w:tcBorders>
            <w:shd w:val="clear" w:color="auto" w:fill="auto"/>
            <w:noWrap/>
            <w:vAlign w:val="center"/>
            <w:hideMark/>
          </w:tcPr>
          <w:p w14:paraId="778969A0"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6DA60E3E"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Total Adjusted value </w:t>
            </w:r>
          </w:p>
        </w:tc>
      </w:tr>
      <w:tr w:rsidR="007A290C" w:rsidRPr="000A5771" w14:paraId="41B04E82"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5CBAB3" w14:textId="2B26EE61" w:rsidR="007A290C" w:rsidRPr="000A5771" w:rsidRDefault="00627ACE"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r w:rsidR="007A290C" w:rsidRPr="000A5771">
              <w:rPr>
                <w:rFonts w:ascii="Arial" w:eastAsia="Times New Roman" w:hAnsi="Arial" w:cs="Arial"/>
                <w:b/>
                <w:bCs/>
                <w:color w:val="000000"/>
              </w:rPr>
              <w:t>3</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037353C6"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TOTAL HQLA</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7A61983C"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0D1A36AD" w14:textId="4D3D75B2" w:rsidR="007A290C" w:rsidRPr="000A5771" w:rsidRDefault="002B6AB1" w:rsidP="002D0668">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r w:rsidR="00902EC5">
              <w:rPr>
                <w:rFonts w:ascii="Arial" w:eastAsia="Times New Roman" w:hAnsi="Arial" w:cs="Arial"/>
                <w:b/>
                <w:bCs/>
                <w:color w:val="000000"/>
              </w:rPr>
              <w:t>53</w:t>
            </w:r>
            <w:r w:rsidR="006052FC" w:rsidRPr="000A5771">
              <w:rPr>
                <w:rFonts w:ascii="Arial" w:eastAsia="Times New Roman" w:hAnsi="Arial" w:cs="Arial"/>
                <w:b/>
                <w:bCs/>
                <w:color w:val="000000"/>
              </w:rPr>
              <w:t>.</w:t>
            </w:r>
            <w:r w:rsidR="00902EC5">
              <w:rPr>
                <w:rFonts w:ascii="Arial" w:eastAsia="Times New Roman" w:hAnsi="Arial" w:cs="Arial"/>
                <w:b/>
                <w:bCs/>
                <w:color w:val="000000"/>
              </w:rPr>
              <w:t>94</w:t>
            </w:r>
          </w:p>
        </w:tc>
      </w:tr>
      <w:tr w:rsidR="007A290C" w:rsidRPr="000A5771" w14:paraId="274DAFDE"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C0ABE4"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14</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318F1B6D"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TOTAL NET CASH OUTFLOWS OVER THE NEXT 30 DAYS</w:t>
            </w:r>
          </w:p>
          <w:p w14:paraId="5A1BF704" w14:textId="77777777" w:rsidR="007A290C" w:rsidRPr="000A5771" w:rsidRDefault="007A290C" w:rsidP="007A290C">
            <w:pPr>
              <w:spacing w:after="0" w:line="240" w:lineRule="auto"/>
              <w:rPr>
                <w:rFonts w:ascii="Arial" w:eastAsia="Times New Roman" w:hAnsi="Arial" w:cs="Arial"/>
                <w:bCs/>
                <w:color w:val="000000"/>
              </w:rPr>
            </w:pPr>
            <w:r w:rsidRPr="000A5771">
              <w:rPr>
                <w:rFonts w:ascii="Arial" w:eastAsia="Times New Roman" w:hAnsi="Arial" w:cs="Arial"/>
                <w:bCs/>
                <w:color w:val="000000"/>
              </w:rPr>
              <w:t>(Weighted value of Total Cash Outflows – Minimum of (Weighted value of Total Cash Inflows, 75% of Weighted value of Total Cash Outflows))</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7DE04D29"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20FD0FA3" w14:textId="5311FB46" w:rsidR="007A290C" w:rsidRPr="000A5771" w:rsidRDefault="00BB6E04" w:rsidP="00CF7D63">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r w:rsidR="00902EC5">
              <w:rPr>
                <w:rFonts w:ascii="Arial" w:eastAsia="Times New Roman" w:hAnsi="Arial" w:cs="Arial"/>
                <w:b/>
                <w:bCs/>
                <w:color w:val="000000"/>
              </w:rPr>
              <w:t>3</w:t>
            </w:r>
            <w:r w:rsidR="00D02174">
              <w:rPr>
                <w:rFonts w:ascii="Arial" w:eastAsia="Times New Roman" w:hAnsi="Arial" w:cs="Arial"/>
                <w:b/>
                <w:bCs/>
                <w:color w:val="000000"/>
              </w:rPr>
              <w:t>90</w:t>
            </w:r>
            <w:r w:rsidR="00902EC5">
              <w:rPr>
                <w:rFonts w:ascii="Arial" w:eastAsia="Times New Roman" w:hAnsi="Arial" w:cs="Arial"/>
                <w:b/>
                <w:bCs/>
                <w:color w:val="000000"/>
              </w:rPr>
              <w:t>.</w:t>
            </w:r>
            <w:r w:rsidR="00D02174">
              <w:rPr>
                <w:rFonts w:ascii="Arial" w:eastAsia="Times New Roman" w:hAnsi="Arial" w:cs="Arial"/>
                <w:b/>
                <w:bCs/>
                <w:color w:val="000000"/>
              </w:rPr>
              <w:t>55</w:t>
            </w:r>
          </w:p>
        </w:tc>
      </w:tr>
      <w:tr w:rsidR="007A290C" w:rsidRPr="000A5771" w14:paraId="6223F0B0" w14:textId="77777777" w:rsidTr="008D743B">
        <w:trPr>
          <w:trHeight w:val="300"/>
        </w:trPr>
        <w:tc>
          <w:tcPr>
            <w:tcW w:w="5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608E58" w14:textId="77777777" w:rsidR="007A290C" w:rsidRPr="000A5771" w:rsidRDefault="007A290C" w:rsidP="007A290C">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15</w:t>
            </w:r>
          </w:p>
        </w:tc>
        <w:tc>
          <w:tcPr>
            <w:tcW w:w="6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541B6BD" w14:textId="77777777" w:rsidR="007A290C" w:rsidRPr="000A5771" w:rsidRDefault="007A290C" w:rsidP="007A290C">
            <w:pPr>
              <w:spacing w:after="0" w:line="240" w:lineRule="auto"/>
              <w:rPr>
                <w:rFonts w:ascii="Arial" w:eastAsia="Times New Roman" w:hAnsi="Arial" w:cs="Arial"/>
                <w:b/>
                <w:bCs/>
                <w:color w:val="000000"/>
              </w:rPr>
            </w:pPr>
            <w:r w:rsidRPr="000A5771">
              <w:rPr>
                <w:rFonts w:ascii="Arial" w:eastAsia="Times New Roman" w:hAnsi="Arial" w:cs="Arial"/>
                <w:b/>
                <w:bCs/>
                <w:color w:val="000000"/>
              </w:rPr>
              <w:t>LIQUIDITY COVERAGE RATIO (%)</w:t>
            </w:r>
            <w:r w:rsidRPr="000A5771">
              <w:rPr>
                <w:rFonts w:ascii="Arial" w:eastAsia="Times New Roman" w:hAnsi="Arial" w:cs="Arial"/>
                <w:b/>
                <w:bCs/>
                <w:color w:val="000000"/>
                <w:vertAlign w:val="superscript"/>
              </w:rPr>
              <w:t>4</w:t>
            </w:r>
          </w:p>
        </w:tc>
        <w:tc>
          <w:tcPr>
            <w:tcW w:w="2269" w:type="dxa"/>
            <w:tcBorders>
              <w:top w:val="nil"/>
              <w:left w:val="nil"/>
              <w:bottom w:val="single" w:sz="4" w:space="0" w:color="auto"/>
              <w:right w:val="single" w:sz="4" w:space="0" w:color="auto"/>
            </w:tcBorders>
            <w:shd w:val="clear" w:color="auto" w:fill="000000" w:themeFill="text1"/>
            <w:noWrap/>
            <w:vAlign w:val="center"/>
            <w:hideMark/>
          </w:tcPr>
          <w:p w14:paraId="150C324D" w14:textId="77777777" w:rsidR="007A290C" w:rsidRPr="000A5771" w:rsidRDefault="007A290C" w:rsidP="007A290C">
            <w:pPr>
              <w:spacing w:after="0" w:line="240" w:lineRule="auto"/>
              <w:jc w:val="center"/>
              <w:rPr>
                <w:rFonts w:ascii="Arial" w:eastAsia="Times New Roman" w:hAnsi="Arial" w:cs="Arial"/>
                <w:color w:val="000000"/>
              </w:rPr>
            </w:pPr>
            <w:r w:rsidRPr="000A5771">
              <w:rPr>
                <w:rFonts w:ascii="Arial" w:eastAsia="Times New Roman" w:hAnsi="Arial" w:cs="Arial"/>
                <w:color w:val="000000"/>
              </w:rPr>
              <w:t> </w:t>
            </w:r>
          </w:p>
        </w:tc>
        <w:tc>
          <w:tcPr>
            <w:tcW w:w="1988" w:type="dxa"/>
            <w:tcBorders>
              <w:top w:val="nil"/>
              <w:left w:val="nil"/>
              <w:bottom w:val="single" w:sz="4" w:space="0" w:color="auto"/>
              <w:right w:val="single" w:sz="4" w:space="0" w:color="auto"/>
            </w:tcBorders>
            <w:shd w:val="clear" w:color="auto" w:fill="auto"/>
            <w:noWrap/>
            <w:vAlign w:val="center"/>
            <w:hideMark/>
          </w:tcPr>
          <w:p w14:paraId="0FF26BF3" w14:textId="70921465" w:rsidR="007A290C" w:rsidRPr="000A5771" w:rsidRDefault="00BB6E04" w:rsidP="00142F62">
            <w:pPr>
              <w:spacing w:after="0" w:line="240" w:lineRule="auto"/>
              <w:jc w:val="center"/>
              <w:rPr>
                <w:rFonts w:ascii="Arial" w:eastAsia="Times New Roman" w:hAnsi="Arial" w:cs="Arial"/>
                <w:b/>
                <w:bCs/>
                <w:color w:val="000000"/>
              </w:rPr>
            </w:pPr>
            <w:r w:rsidRPr="000A5771">
              <w:rPr>
                <w:rFonts w:ascii="Arial" w:eastAsia="Times New Roman" w:hAnsi="Arial" w:cs="Arial"/>
                <w:b/>
                <w:bCs/>
                <w:color w:val="000000"/>
              </w:rPr>
              <w:t>1</w:t>
            </w:r>
            <w:r w:rsidR="002B6AB1">
              <w:rPr>
                <w:rFonts w:ascii="Arial" w:eastAsia="Times New Roman" w:hAnsi="Arial" w:cs="Arial"/>
                <w:b/>
                <w:bCs/>
                <w:color w:val="000000"/>
              </w:rPr>
              <w:t>4</w:t>
            </w:r>
            <w:r w:rsidR="00902EC5">
              <w:rPr>
                <w:rFonts w:ascii="Arial" w:eastAsia="Times New Roman" w:hAnsi="Arial" w:cs="Arial"/>
                <w:b/>
                <w:bCs/>
                <w:color w:val="000000"/>
              </w:rPr>
              <w:t>1</w:t>
            </w:r>
            <w:r w:rsidRPr="000A5771">
              <w:rPr>
                <w:rFonts w:ascii="Arial" w:eastAsia="Times New Roman" w:hAnsi="Arial" w:cs="Arial"/>
                <w:b/>
                <w:bCs/>
                <w:color w:val="000000"/>
              </w:rPr>
              <w:t>%</w:t>
            </w:r>
          </w:p>
        </w:tc>
      </w:tr>
    </w:tbl>
    <w:p w14:paraId="17D57E9C" w14:textId="77777777" w:rsidR="000A0053" w:rsidRPr="000A5771" w:rsidRDefault="000A0053" w:rsidP="000A0053">
      <w:pPr>
        <w:pStyle w:val="Default"/>
        <w:jc w:val="both"/>
        <w:rPr>
          <w:sz w:val="22"/>
          <w:szCs w:val="22"/>
        </w:rPr>
      </w:pPr>
    </w:p>
    <w:p w14:paraId="7466E502" w14:textId="77777777" w:rsidR="00F16DE5" w:rsidRPr="000A5771" w:rsidRDefault="00F16DE5" w:rsidP="00F16DE5">
      <w:pPr>
        <w:spacing w:before="120" w:after="120"/>
        <w:jc w:val="both"/>
        <w:rPr>
          <w:rFonts w:ascii="Arial" w:hAnsi="Arial" w:cs="Arial"/>
        </w:rPr>
      </w:pPr>
      <w:r w:rsidRPr="000A5771">
        <w:rPr>
          <w:rFonts w:ascii="Arial" w:hAnsi="Arial" w:cs="Arial"/>
        </w:rPr>
        <w:t>Notes:</w:t>
      </w:r>
    </w:p>
    <w:p w14:paraId="2A6C82BA" w14:textId="4E988935" w:rsidR="00F16DE5" w:rsidRPr="000A5771" w:rsidRDefault="00F16DE5" w:rsidP="00F16DE5">
      <w:pPr>
        <w:pStyle w:val="ListParagraph"/>
        <w:numPr>
          <w:ilvl w:val="0"/>
          <w:numId w:val="6"/>
        </w:numPr>
        <w:spacing w:after="0" w:line="240" w:lineRule="auto"/>
        <w:jc w:val="both"/>
        <w:rPr>
          <w:rFonts w:ascii="Arial" w:hAnsi="Arial" w:cs="Arial"/>
        </w:rPr>
      </w:pPr>
      <w:r w:rsidRPr="000A5771">
        <w:rPr>
          <w:rFonts w:ascii="Arial" w:hAnsi="Arial" w:cs="Arial"/>
        </w:rPr>
        <w:t>Unweighted values calculated as outstanding balances maturing or callable within one month (for inflows and outflows).</w:t>
      </w:r>
      <w:r w:rsidR="00BB6E04" w:rsidRPr="000A5771">
        <w:rPr>
          <w:rFonts w:ascii="Arial" w:hAnsi="Arial" w:cs="Arial"/>
        </w:rPr>
        <w:t xml:space="preserve"> </w:t>
      </w:r>
      <w:r w:rsidRPr="000A5771">
        <w:rPr>
          <w:rFonts w:ascii="Arial" w:hAnsi="Arial" w:cs="Arial"/>
        </w:rPr>
        <w:t xml:space="preserve">Averages are calculated basis simple average of </w:t>
      </w:r>
      <w:r w:rsidR="000423F1" w:rsidRPr="000A5771">
        <w:rPr>
          <w:rFonts w:ascii="Arial" w:hAnsi="Arial" w:cs="Arial"/>
        </w:rPr>
        <w:t>daily</w:t>
      </w:r>
      <w:r w:rsidRPr="000A5771">
        <w:rPr>
          <w:rFonts w:ascii="Arial" w:hAnsi="Arial" w:cs="Arial"/>
        </w:rPr>
        <w:t xml:space="preserve"> observations for Q</w:t>
      </w:r>
      <w:r w:rsidR="00902EC5">
        <w:rPr>
          <w:rFonts w:ascii="Arial" w:hAnsi="Arial" w:cs="Arial"/>
        </w:rPr>
        <w:t>1</w:t>
      </w:r>
      <w:r w:rsidRPr="000A5771">
        <w:rPr>
          <w:rFonts w:ascii="Arial" w:hAnsi="Arial" w:cs="Arial"/>
        </w:rPr>
        <w:t>-FY202</w:t>
      </w:r>
      <w:r w:rsidR="00902EC5">
        <w:rPr>
          <w:rFonts w:ascii="Arial" w:hAnsi="Arial" w:cs="Arial"/>
        </w:rPr>
        <w:t>4</w:t>
      </w:r>
    </w:p>
    <w:p w14:paraId="1FDFDCEF" w14:textId="77777777" w:rsidR="00F16DE5" w:rsidRPr="000A5771" w:rsidRDefault="00F16DE5" w:rsidP="00F16DE5">
      <w:pPr>
        <w:pStyle w:val="ListParagraph"/>
        <w:numPr>
          <w:ilvl w:val="0"/>
          <w:numId w:val="6"/>
        </w:numPr>
        <w:spacing w:after="0" w:line="240" w:lineRule="auto"/>
        <w:jc w:val="both"/>
        <w:rPr>
          <w:rFonts w:ascii="Arial" w:hAnsi="Arial" w:cs="Arial"/>
        </w:rPr>
      </w:pPr>
      <w:r w:rsidRPr="000A5771">
        <w:rPr>
          <w:rFonts w:ascii="Arial" w:hAnsi="Arial" w:cs="Arial"/>
        </w:rPr>
        <w:t>Weighted values calculated after the application of respective haircuts (for HQLA) and stress factors on inflow (75%) and outflow (115%)</w:t>
      </w:r>
    </w:p>
    <w:p w14:paraId="6A2B7B9D" w14:textId="77777777" w:rsidR="00F16DE5" w:rsidRPr="000A5771" w:rsidRDefault="00F16DE5" w:rsidP="00F16DE5">
      <w:pPr>
        <w:pStyle w:val="ListParagraph"/>
        <w:numPr>
          <w:ilvl w:val="0"/>
          <w:numId w:val="6"/>
        </w:numPr>
        <w:spacing w:after="0" w:line="240" w:lineRule="auto"/>
        <w:jc w:val="both"/>
        <w:rPr>
          <w:rFonts w:ascii="Arial" w:hAnsi="Arial" w:cs="Arial"/>
        </w:rPr>
      </w:pPr>
      <w:r w:rsidRPr="000A5771">
        <w:rPr>
          <w:rFonts w:ascii="Arial" w:hAnsi="Arial" w:cs="Arial"/>
        </w:rPr>
        <w:t xml:space="preserve">Other cash inflows amongst others includes liquidity maintained in the form of Liquid Mutual </w:t>
      </w:r>
      <w:r w:rsidR="001B53AD" w:rsidRPr="000A5771">
        <w:rPr>
          <w:rFonts w:ascii="Arial" w:hAnsi="Arial" w:cs="Arial"/>
        </w:rPr>
        <w:t>funds, Fixed</w:t>
      </w:r>
      <w:r w:rsidRPr="000A5771">
        <w:rPr>
          <w:rFonts w:ascii="Arial" w:hAnsi="Arial" w:cs="Arial"/>
        </w:rPr>
        <w:t xml:space="preserve"> deposit placed with banks</w:t>
      </w:r>
      <w:r w:rsidR="000423F1" w:rsidRPr="000A5771">
        <w:rPr>
          <w:rFonts w:ascii="Arial" w:hAnsi="Arial" w:cs="Arial"/>
        </w:rPr>
        <w:t xml:space="preserve"> as well as available undrawn funding lines.</w:t>
      </w:r>
    </w:p>
    <w:p w14:paraId="2132181E" w14:textId="1C8083B6" w:rsidR="00F16DE5" w:rsidRPr="000A5771" w:rsidRDefault="00F16DE5" w:rsidP="00F16DE5">
      <w:pPr>
        <w:pStyle w:val="ListParagraph"/>
        <w:numPr>
          <w:ilvl w:val="0"/>
          <w:numId w:val="6"/>
        </w:numPr>
        <w:spacing w:after="0" w:line="240" w:lineRule="auto"/>
        <w:jc w:val="both"/>
        <w:rPr>
          <w:rFonts w:ascii="Arial" w:hAnsi="Arial" w:cs="Arial"/>
        </w:rPr>
      </w:pPr>
      <w:r w:rsidRPr="000A5771">
        <w:rPr>
          <w:rFonts w:ascii="Arial" w:hAnsi="Arial" w:cs="Arial"/>
        </w:rPr>
        <w:t>All of the HQLA, cash inflows and outflows are in rupee terms and there is no currency mismatch</w:t>
      </w:r>
      <w:r w:rsidR="00BB6F49">
        <w:rPr>
          <w:rFonts w:ascii="Arial" w:hAnsi="Arial" w:cs="Arial"/>
        </w:rPr>
        <w:t>.</w:t>
      </w:r>
    </w:p>
    <w:sectPr w:rsidR="00F16DE5" w:rsidRPr="000A5771" w:rsidSect="002F17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A231" w14:textId="77777777" w:rsidR="00407CFC" w:rsidRDefault="00407CFC" w:rsidP="00407CFC">
      <w:pPr>
        <w:spacing w:after="0" w:line="240" w:lineRule="auto"/>
      </w:pPr>
      <w:r>
        <w:separator/>
      </w:r>
    </w:p>
  </w:endnote>
  <w:endnote w:type="continuationSeparator" w:id="0">
    <w:p w14:paraId="7D774986" w14:textId="77777777" w:rsidR="00407CFC" w:rsidRDefault="00407CFC" w:rsidP="0040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8D15" w14:textId="77777777" w:rsidR="00393737" w:rsidRDefault="00393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2EA2" w14:textId="77777777" w:rsidR="00393737" w:rsidRDefault="00393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18DF" w14:textId="77777777" w:rsidR="00393737" w:rsidRDefault="00393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69972" w14:textId="77777777" w:rsidR="00407CFC" w:rsidRDefault="00407CFC" w:rsidP="00407CFC">
      <w:pPr>
        <w:spacing w:after="0" w:line="240" w:lineRule="auto"/>
      </w:pPr>
      <w:r>
        <w:separator/>
      </w:r>
    </w:p>
  </w:footnote>
  <w:footnote w:type="continuationSeparator" w:id="0">
    <w:p w14:paraId="255E1646" w14:textId="77777777" w:rsidR="00407CFC" w:rsidRDefault="00407CFC" w:rsidP="00407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4F77" w14:textId="77777777" w:rsidR="00393737" w:rsidRDefault="00393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72D0" w14:textId="17CE63ED" w:rsidR="00407CFC" w:rsidRDefault="000058E2">
    <w:pPr>
      <w:pStyle w:val="Header"/>
    </w:pPr>
    <w:r>
      <w:rPr>
        <w:noProof/>
      </w:rPr>
      <w:pict w14:anchorId="63DC38B0">
        <v:shapetype id="_x0000_t202" coordsize="21600,21600" o:spt="202" path="m,l,21600r21600,l21600,xe">
          <v:stroke joinstyle="miter"/>
          <v:path gradientshapeok="t" o:connecttype="rect"/>
        </v:shapetype>
        <v:shape id="expertsource_setting_footer" o:spid="_x0000_s2052" type="#_x0000_t202" style="position:absolute;margin-left:197.4pt;margin-top:726pt;width:73.2pt;height:20pt;z-index:251659264;mso-wrap-style:none;mso-position-horizontal:absolute" stroked="f">
          <v:textbox style="mso-fit-shape-to-text:t">
            <w:txbxContent>
              <w:p w14:paraId="11E67C89" w14:textId="524447D8" w:rsidR="00393737" w:rsidRPr="00393737" w:rsidRDefault="00393737">
                <w:pPr>
                  <w:rPr>
                    <w:rFonts w:ascii="Calibri" w:hAnsi="Calibri" w:cs="Calibri"/>
                    <w:color w:val="35AA33"/>
                  </w:rPr>
                </w:pPr>
                <w:r w:rsidRPr="00393737">
                  <w:rPr>
                    <w:rFonts w:ascii="Calibri" w:hAnsi="Calibri" w:cs="Calibri"/>
                    <w:color w:val="35AA33"/>
                  </w:rPr>
                  <w:t>PUBLIC</w:t>
                </w:r>
              </w:p>
            </w:txbxContent>
          </v:textbox>
        </v:shape>
      </w:pict>
    </w:r>
    <w:r>
      <w:rPr>
        <w:noProof/>
      </w:rPr>
      <w:pict w14:anchorId="09318F52">
        <v:shape id="expertsource_Lsetting" o:spid="_x0000_s2051" type="#_x0000_t202" style="position:absolute;margin-left:-48pt;margin-top:-26pt;width:73.2pt;height:20pt;z-index:251658240;mso-wrap-style:none" stroked="f">
          <v:textbox style="mso-fit-shape-to-text:t">
            <w:txbxContent>
              <w:p w14:paraId="4D53F49C" w14:textId="28DBEAE0" w:rsidR="00393737" w:rsidRPr="00393737" w:rsidRDefault="00393737">
                <w:pPr>
                  <w:rPr>
                    <w:rFonts w:ascii="Calibri" w:hAnsi="Calibri" w:cs="Calibri"/>
                    <w:color w:val="35AA33"/>
                  </w:rPr>
                </w:pPr>
                <w:r w:rsidRPr="00393737">
                  <w:rPr>
                    <w:rFonts w:ascii="Calibri" w:hAnsi="Calibri" w:cs="Calibri"/>
                    <w:color w:val="35AA33"/>
                  </w:rPr>
                  <w:t>PUBLIC</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E96D" w14:textId="77777777" w:rsidR="00393737" w:rsidRDefault="00393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084A"/>
    <w:multiLevelType w:val="hybridMultilevel"/>
    <w:tmpl w:val="EBCEEAB4"/>
    <w:lvl w:ilvl="0" w:tplc="D6EEE3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84DA9"/>
    <w:multiLevelType w:val="hybridMultilevel"/>
    <w:tmpl w:val="1EA0664A"/>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2" w15:restartNumberingAfterBreak="0">
    <w:nsid w:val="1DB864D9"/>
    <w:multiLevelType w:val="hybridMultilevel"/>
    <w:tmpl w:val="5942CB32"/>
    <w:lvl w:ilvl="0" w:tplc="73E6CA62">
      <w:start w:val="1"/>
      <w:numFmt w:val="lowerRoman"/>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BD777A"/>
    <w:multiLevelType w:val="hybridMultilevel"/>
    <w:tmpl w:val="B82C088C"/>
    <w:lvl w:ilvl="0" w:tplc="73E6CA62">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B03791"/>
    <w:multiLevelType w:val="hybridMultilevel"/>
    <w:tmpl w:val="E104EDAE"/>
    <w:lvl w:ilvl="0" w:tplc="4009000F">
      <w:start w:val="1"/>
      <w:numFmt w:val="decimal"/>
      <w:lvlText w:val="%1."/>
      <w:lvlJc w:val="left"/>
      <w:pPr>
        <w:ind w:left="360"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57483495"/>
    <w:multiLevelType w:val="hybridMultilevel"/>
    <w:tmpl w:val="FBD270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3D0C"/>
    <w:rsid w:val="000058E2"/>
    <w:rsid w:val="000213F4"/>
    <w:rsid w:val="00035A87"/>
    <w:rsid w:val="00036383"/>
    <w:rsid w:val="000423F1"/>
    <w:rsid w:val="00055635"/>
    <w:rsid w:val="000A0053"/>
    <w:rsid w:val="000A5771"/>
    <w:rsid w:val="000D2E89"/>
    <w:rsid w:val="000F3DFA"/>
    <w:rsid w:val="00142F62"/>
    <w:rsid w:val="00154D9F"/>
    <w:rsid w:val="001A2FDD"/>
    <w:rsid w:val="001A41AE"/>
    <w:rsid w:val="001B53AD"/>
    <w:rsid w:val="001F555A"/>
    <w:rsid w:val="00213887"/>
    <w:rsid w:val="00222550"/>
    <w:rsid w:val="00282D70"/>
    <w:rsid w:val="002844F8"/>
    <w:rsid w:val="002B2070"/>
    <w:rsid w:val="002B6AB1"/>
    <w:rsid w:val="002D0668"/>
    <w:rsid w:val="002F17A9"/>
    <w:rsid w:val="0034637E"/>
    <w:rsid w:val="00363BA1"/>
    <w:rsid w:val="003768EC"/>
    <w:rsid w:val="003773FF"/>
    <w:rsid w:val="00384D3A"/>
    <w:rsid w:val="00393737"/>
    <w:rsid w:val="003D4D0A"/>
    <w:rsid w:val="00407CFC"/>
    <w:rsid w:val="00415EFB"/>
    <w:rsid w:val="00427436"/>
    <w:rsid w:val="00430FEB"/>
    <w:rsid w:val="00442D12"/>
    <w:rsid w:val="00457A67"/>
    <w:rsid w:val="004632B4"/>
    <w:rsid w:val="00494834"/>
    <w:rsid w:val="004A0A3C"/>
    <w:rsid w:val="004C51F1"/>
    <w:rsid w:val="004E05D9"/>
    <w:rsid w:val="004E524A"/>
    <w:rsid w:val="00506699"/>
    <w:rsid w:val="00507D73"/>
    <w:rsid w:val="00513D0C"/>
    <w:rsid w:val="005160C8"/>
    <w:rsid w:val="005826FD"/>
    <w:rsid w:val="005B4E3B"/>
    <w:rsid w:val="005C57FA"/>
    <w:rsid w:val="005E54FA"/>
    <w:rsid w:val="006052FC"/>
    <w:rsid w:val="00611A0D"/>
    <w:rsid w:val="00625804"/>
    <w:rsid w:val="00627ACE"/>
    <w:rsid w:val="00632B93"/>
    <w:rsid w:val="00637624"/>
    <w:rsid w:val="00664736"/>
    <w:rsid w:val="006A6C38"/>
    <w:rsid w:val="006C2368"/>
    <w:rsid w:val="006D1D14"/>
    <w:rsid w:val="0072774E"/>
    <w:rsid w:val="00730C56"/>
    <w:rsid w:val="0076489E"/>
    <w:rsid w:val="00785FD2"/>
    <w:rsid w:val="00796E8A"/>
    <w:rsid w:val="007A290C"/>
    <w:rsid w:val="007D66EB"/>
    <w:rsid w:val="00812875"/>
    <w:rsid w:val="00836D3B"/>
    <w:rsid w:val="008B2DD4"/>
    <w:rsid w:val="008B6C70"/>
    <w:rsid w:val="00902EC5"/>
    <w:rsid w:val="00924C1B"/>
    <w:rsid w:val="0095343C"/>
    <w:rsid w:val="00970454"/>
    <w:rsid w:val="009864C1"/>
    <w:rsid w:val="00994DB5"/>
    <w:rsid w:val="009A211E"/>
    <w:rsid w:val="009E0FD7"/>
    <w:rsid w:val="00A04F49"/>
    <w:rsid w:val="00A07117"/>
    <w:rsid w:val="00A1267B"/>
    <w:rsid w:val="00A3424B"/>
    <w:rsid w:val="00A840DD"/>
    <w:rsid w:val="00AB05A6"/>
    <w:rsid w:val="00B00184"/>
    <w:rsid w:val="00B07D0F"/>
    <w:rsid w:val="00B77F97"/>
    <w:rsid w:val="00BA12FC"/>
    <w:rsid w:val="00BB37FA"/>
    <w:rsid w:val="00BB3B16"/>
    <w:rsid w:val="00BB6E04"/>
    <w:rsid w:val="00BB6F49"/>
    <w:rsid w:val="00BC4BDB"/>
    <w:rsid w:val="00BC7B8E"/>
    <w:rsid w:val="00BF79C8"/>
    <w:rsid w:val="00C12852"/>
    <w:rsid w:val="00C16B7E"/>
    <w:rsid w:val="00C21D75"/>
    <w:rsid w:val="00C42299"/>
    <w:rsid w:val="00C5440D"/>
    <w:rsid w:val="00C7642E"/>
    <w:rsid w:val="00CD0F3B"/>
    <w:rsid w:val="00CD4BBE"/>
    <w:rsid w:val="00CF4EB5"/>
    <w:rsid w:val="00CF7D63"/>
    <w:rsid w:val="00D02174"/>
    <w:rsid w:val="00D07AB4"/>
    <w:rsid w:val="00D15637"/>
    <w:rsid w:val="00D3410E"/>
    <w:rsid w:val="00D3642B"/>
    <w:rsid w:val="00D54932"/>
    <w:rsid w:val="00D55AE6"/>
    <w:rsid w:val="00D600BB"/>
    <w:rsid w:val="00D61F1A"/>
    <w:rsid w:val="00DA22AA"/>
    <w:rsid w:val="00DB4FD4"/>
    <w:rsid w:val="00DC718D"/>
    <w:rsid w:val="00DF65EA"/>
    <w:rsid w:val="00E455FA"/>
    <w:rsid w:val="00E5795F"/>
    <w:rsid w:val="00E676B5"/>
    <w:rsid w:val="00E97FCE"/>
    <w:rsid w:val="00EB4BD2"/>
    <w:rsid w:val="00EC56C8"/>
    <w:rsid w:val="00EF7321"/>
    <w:rsid w:val="00F16DE5"/>
    <w:rsid w:val="00F471D6"/>
    <w:rsid w:val="00FC528C"/>
    <w:rsid w:val="00FE27A5"/>
    <w:rsid w:val="00FF18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3B2EF50"/>
  <w15:docId w15:val="{325A4B86-EBE3-4598-AEB3-1205FE29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FA"/>
  </w:style>
  <w:style w:type="paragraph" w:styleId="Heading1">
    <w:name w:val="heading 1"/>
    <w:basedOn w:val="Normal"/>
    <w:next w:val="Normal"/>
    <w:link w:val="Heading1Char"/>
    <w:qFormat/>
    <w:rsid w:val="00513D0C"/>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513D0C"/>
    <w:pPr>
      <w:keepNext/>
      <w:spacing w:after="0" w:line="240" w:lineRule="auto"/>
      <w:jc w:val="center"/>
      <w:outlineLvl w:val="1"/>
    </w:pPr>
    <w:rPr>
      <w:rFonts w:ascii="Arial" w:eastAsia="Times New Roman" w:hAnsi="Arial" w:cs="Times New Roman"/>
      <w:b/>
      <w:szCs w:val="20"/>
      <w:u w:val="single"/>
    </w:rPr>
  </w:style>
  <w:style w:type="paragraph" w:styleId="Heading3">
    <w:name w:val="heading 3"/>
    <w:basedOn w:val="Normal"/>
    <w:next w:val="Normal"/>
    <w:link w:val="Heading3Char"/>
    <w:uiPriority w:val="9"/>
    <w:semiHidden/>
    <w:unhideWhenUsed/>
    <w:qFormat/>
    <w:rsid w:val="00513D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D0C"/>
    <w:rPr>
      <w:rFonts w:ascii="Arial" w:eastAsia="Times New Roman" w:hAnsi="Arial" w:cs="Times New Roman"/>
      <w:b/>
      <w:szCs w:val="20"/>
    </w:rPr>
  </w:style>
  <w:style w:type="character" w:customStyle="1" w:styleId="Heading2Char">
    <w:name w:val="Heading 2 Char"/>
    <w:basedOn w:val="DefaultParagraphFont"/>
    <w:link w:val="Heading2"/>
    <w:rsid w:val="00513D0C"/>
    <w:rPr>
      <w:rFonts w:ascii="Arial" w:eastAsia="Times New Roman" w:hAnsi="Arial" w:cs="Times New Roman"/>
      <w:b/>
      <w:szCs w:val="20"/>
      <w:u w:val="single"/>
    </w:rPr>
  </w:style>
  <w:style w:type="paragraph" w:customStyle="1" w:styleId="Default">
    <w:name w:val="Default"/>
    <w:rsid w:val="00513D0C"/>
    <w:pPr>
      <w:autoSpaceDE w:val="0"/>
      <w:autoSpaceDN w:val="0"/>
      <w:adjustRightInd w:val="0"/>
      <w:spacing w:after="0" w:line="240" w:lineRule="auto"/>
    </w:pPr>
    <w:rPr>
      <w:rFonts w:ascii="Arial" w:eastAsia="Times New Roman" w:hAnsi="Arial" w:cs="Arial"/>
      <w:color w:val="000000"/>
      <w:sz w:val="24"/>
      <w:szCs w:val="24"/>
      <w:lang w:val="en-IN"/>
    </w:rPr>
  </w:style>
  <w:style w:type="character" w:customStyle="1" w:styleId="Heading3Char">
    <w:name w:val="Heading 3 Char"/>
    <w:basedOn w:val="DefaultParagraphFont"/>
    <w:link w:val="Heading3"/>
    <w:uiPriority w:val="9"/>
    <w:semiHidden/>
    <w:rsid w:val="00513D0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F17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F17A9"/>
    <w:rPr>
      <w:i/>
      <w:iCs/>
      <w:color w:val="404040" w:themeColor="text1" w:themeTint="BF"/>
    </w:rPr>
  </w:style>
  <w:style w:type="paragraph" w:styleId="IntenseQuote">
    <w:name w:val="Intense Quote"/>
    <w:basedOn w:val="Normal"/>
    <w:next w:val="Normal"/>
    <w:link w:val="IntenseQuoteChar"/>
    <w:uiPriority w:val="30"/>
    <w:qFormat/>
    <w:rsid w:val="002F17A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17A9"/>
    <w:rPr>
      <w:i/>
      <w:iCs/>
      <w:color w:val="4F81BD" w:themeColor="accent1"/>
    </w:rPr>
  </w:style>
  <w:style w:type="paragraph" w:styleId="Quote">
    <w:name w:val="Quote"/>
    <w:basedOn w:val="Normal"/>
    <w:next w:val="Normal"/>
    <w:link w:val="QuoteChar"/>
    <w:uiPriority w:val="29"/>
    <w:qFormat/>
    <w:rsid w:val="002F17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17A9"/>
    <w:rPr>
      <w:i/>
      <w:iCs/>
      <w:color w:val="404040" w:themeColor="text1" w:themeTint="BF"/>
    </w:rPr>
  </w:style>
  <w:style w:type="paragraph" w:styleId="ListParagraph">
    <w:name w:val="List Paragraph"/>
    <w:basedOn w:val="Normal"/>
    <w:uiPriority w:val="34"/>
    <w:qFormat/>
    <w:rsid w:val="00DB4FD4"/>
    <w:pPr>
      <w:ind w:left="720"/>
      <w:contextualSpacing/>
    </w:pPr>
  </w:style>
  <w:style w:type="table" w:styleId="TableGrid">
    <w:name w:val="Table Grid"/>
    <w:basedOn w:val="TableNormal"/>
    <w:uiPriority w:val="59"/>
    <w:rsid w:val="00DB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D4"/>
    <w:rPr>
      <w:rFonts w:ascii="Segoe UI" w:hAnsi="Segoe UI" w:cs="Segoe UI"/>
      <w:sz w:val="18"/>
      <w:szCs w:val="18"/>
    </w:rPr>
  </w:style>
  <w:style w:type="character" w:styleId="CommentReference">
    <w:name w:val="annotation reference"/>
    <w:basedOn w:val="DefaultParagraphFont"/>
    <w:uiPriority w:val="99"/>
    <w:semiHidden/>
    <w:unhideWhenUsed/>
    <w:rsid w:val="00A3424B"/>
    <w:rPr>
      <w:sz w:val="16"/>
      <w:szCs w:val="16"/>
    </w:rPr>
  </w:style>
  <w:style w:type="paragraph" w:styleId="CommentText">
    <w:name w:val="annotation text"/>
    <w:basedOn w:val="Normal"/>
    <w:link w:val="CommentTextChar"/>
    <w:uiPriority w:val="99"/>
    <w:semiHidden/>
    <w:unhideWhenUsed/>
    <w:rsid w:val="00A3424B"/>
    <w:pPr>
      <w:spacing w:line="240" w:lineRule="auto"/>
    </w:pPr>
    <w:rPr>
      <w:sz w:val="20"/>
      <w:szCs w:val="20"/>
    </w:rPr>
  </w:style>
  <w:style w:type="character" w:customStyle="1" w:styleId="CommentTextChar">
    <w:name w:val="Comment Text Char"/>
    <w:basedOn w:val="DefaultParagraphFont"/>
    <w:link w:val="CommentText"/>
    <w:uiPriority w:val="99"/>
    <w:semiHidden/>
    <w:rsid w:val="00A3424B"/>
    <w:rPr>
      <w:sz w:val="20"/>
      <w:szCs w:val="20"/>
    </w:rPr>
  </w:style>
  <w:style w:type="paragraph" w:styleId="CommentSubject">
    <w:name w:val="annotation subject"/>
    <w:basedOn w:val="CommentText"/>
    <w:next w:val="CommentText"/>
    <w:link w:val="CommentSubjectChar"/>
    <w:uiPriority w:val="99"/>
    <w:semiHidden/>
    <w:unhideWhenUsed/>
    <w:rsid w:val="00A3424B"/>
    <w:rPr>
      <w:b/>
      <w:bCs/>
    </w:rPr>
  </w:style>
  <w:style w:type="character" w:customStyle="1" w:styleId="CommentSubjectChar">
    <w:name w:val="Comment Subject Char"/>
    <w:basedOn w:val="CommentTextChar"/>
    <w:link w:val="CommentSubject"/>
    <w:uiPriority w:val="99"/>
    <w:semiHidden/>
    <w:rsid w:val="00A3424B"/>
    <w:rPr>
      <w:b/>
      <w:bCs/>
      <w:sz w:val="20"/>
      <w:szCs w:val="20"/>
    </w:rPr>
  </w:style>
  <w:style w:type="paragraph" w:styleId="Revision">
    <w:name w:val="Revision"/>
    <w:hidden/>
    <w:uiPriority w:val="99"/>
    <w:semiHidden/>
    <w:rsid w:val="00A3424B"/>
    <w:pPr>
      <w:spacing w:after="0" w:line="240" w:lineRule="auto"/>
    </w:pPr>
  </w:style>
  <w:style w:type="paragraph" w:styleId="Header">
    <w:name w:val="header"/>
    <w:basedOn w:val="Normal"/>
    <w:link w:val="HeaderChar"/>
    <w:uiPriority w:val="99"/>
    <w:unhideWhenUsed/>
    <w:rsid w:val="0040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FC"/>
  </w:style>
  <w:style w:type="paragraph" w:styleId="Footer">
    <w:name w:val="footer"/>
    <w:basedOn w:val="Normal"/>
    <w:link w:val="FooterChar"/>
    <w:uiPriority w:val="99"/>
    <w:unhideWhenUsed/>
    <w:rsid w:val="0040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6804">
      <w:bodyDiv w:val="1"/>
      <w:marLeft w:val="0"/>
      <w:marRight w:val="0"/>
      <w:marTop w:val="0"/>
      <w:marBottom w:val="0"/>
      <w:divBdr>
        <w:top w:val="none" w:sz="0" w:space="0" w:color="auto"/>
        <w:left w:val="none" w:sz="0" w:space="0" w:color="auto"/>
        <w:bottom w:val="none" w:sz="0" w:space="0" w:color="auto"/>
        <w:right w:val="none" w:sz="0" w:space="0" w:color="auto"/>
      </w:divBdr>
    </w:div>
    <w:div w:id="619382581">
      <w:bodyDiv w:val="1"/>
      <w:marLeft w:val="0"/>
      <w:marRight w:val="0"/>
      <w:marTop w:val="0"/>
      <w:marBottom w:val="0"/>
      <w:divBdr>
        <w:top w:val="none" w:sz="0" w:space="0" w:color="auto"/>
        <w:left w:val="none" w:sz="0" w:space="0" w:color="auto"/>
        <w:bottom w:val="none" w:sz="0" w:space="0" w:color="auto"/>
        <w:right w:val="none" w:sz="0" w:space="0" w:color="auto"/>
      </w:divBdr>
    </w:div>
    <w:div w:id="690296977">
      <w:bodyDiv w:val="1"/>
      <w:marLeft w:val="0"/>
      <w:marRight w:val="0"/>
      <w:marTop w:val="0"/>
      <w:marBottom w:val="0"/>
      <w:divBdr>
        <w:top w:val="none" w:sz="0" w:space="0" w:color="auto"/>
        <w:left w:val="none" w:sz="0" w:space="0" w:color="auto"/>
        <w:bottom w:val="none" w:sz="0" w:space="0" w:color="auto"/>
        <w:right w:val="none" w:sz="0" w:space="0" w:color="auto"/>
      </w:divBdr>
    </w:div>
    <w:div w:id="758521011">
      <w:bodyDiv w:val="1"/>
      <w:marLeft w:val="0"/>
      <w:marRight w:val="0"/>
      <w:marTop w:val="0"/>
      <w:marBottom w:val="0"/>
      <w:divBdr>
        <w:top w:val="none" w:sz="0" w:space="0" w:color="auto"/>
        <w:left w:val="none" w:sz="0" w:space="0" w:color="auto"/>
        <w:bottom w:val="none" w:sz="0" w:space="0" w:color="auto"/>
        <w:right w:val="none" w:sz="0" w:space="0" w:color="auto"/>
      </w:divBdr>
    </w:div>
    <w:div w:id="764768155">
      <w:bodyDiv w:val="1"/>
      <w:marLeft w:val="0"/>
      <w:marRight w:val="0"/>
      <w:marTop w:val="0"/>
      <w:marBottom w:val="0"/>
      <w:divBdr>
        <w:top w:val="none" w:sz="0" w:space="0" w:color="auto"/>
        <w:left w:val="none" w:sz="0" w:space="0" w:color="auto"/>
        <w:bottom w:val="none" w:sz="0" w:space="0" w:color="auto"/>
        <w:right w:val="none" w:sz="0" w:space="0" w:color="auto"/>
      </w:divBdr>
    </w:div>
    <w:div w:id="932203176">
      <w:bodyDiv w:val="1"/>
      <w:marLeft w:val="0"/>
      <w:marRight w:val="0"/>
      <w:marTop w:val="0"/>
      <w:marBottom w:val="0"/>
      <w:divBdr>
        <w:top w:val="none" w:sz="0" w:space="0" w:color="auto"/>
        <w:left w:val="none" w:sz="0" w:space="0" w:color="auto"/>
        <w:bottom w:val="none" w:sz="0" w:space="0" w:color="auto"/>
        <w:right w:val="none" w:sz="0" w:space="0" w:color="auto"/>
      </w:divBdr>
    </w:div>
    <w:div w:id="1164008246">
      <w:bodyDiv w:val="1"/>
      <w:marLeft w:val="0"/>
      <w:marRight w:val="0"/>
      <w:marTop w:val="0"/>
      <w:marBottom w:val="0"/>
      <w:divBdr>
        <w:top w:val="none" w:sz="0" w:space="0" w:color="auto"/>
        <w:left w:val="none" w:sz="0" w:space="0" w:color="auto"/>
        <w:bottom w:val="none" w:sz="0" w:space="0" w:color="auto"/>
        <w:right w:val="none" w:sz="0" w:space="0" w:color="auto"/>
      </w:divBdr>
    </w:div>
    <w:div w:id="1477717952">
      <w:bodyDiv w:val="1"/>
      <w:marLeft w:val="0"/>
      <w:marRight w:val="0"/>
      <w:marTop w:val="0"/>
      <w:marBottom w:val="0"/>
      <w:divBdr>
        <w:top w:val="none" w:sz="0" w:space="0" w:color="auto"/>
        <w:left w:val="none" w:sz="0" w:space="0" w:color="auto"/>
        <w:bottom w:val="none" w:sz="0" w:space="0" w:color="auto"/>
        <w:right w:val="none" w:sz="0" w:space="0" w:color="auto"/>
      </w:divBdr>
    </w:div>
    <w:div w:id="15294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2</SNO>
  <KDate>2023-04-27 15:12:06</KDate>
  <Classification>PUBLIC</Classification>
  <Subclassification/>
  <HostName>KAL50042552</HostName>
  <Domain_User>LNTFINSVCS/50042552</Domain_User>
  <IPAdd>10.6.82.169</IPAdd>
  <FilePath>Z:\$Antika\MIS\2022-23\Mar 2023\LRF Annexure 1\LTF_Annexure 1 Disclosure_LRM guidelines_Mar 23.docx</FilePath>
  <KID>50C2E830D25D638170711553483770</KID>
  <UniqueName/>
  <Suggested/>
  <Justification>downgrading-Public document</Justification>
</Klassify>
</file>

<file path=customXml/item2.xml><?xml version="1.0" encoding="utf-8"?>
<Klassify>
  <SNO>1</SNO>
  <KDate>2023-04-14 12:12:35</KDate>
  <Classification>INTERNAL</Classification>
  <Subclassification/>
  <HostName>KAL50042552</HostName>
  <Domain_User>LNTFINSVCS/50042552</Domain_User>
  <IPAdd>10.6.82.169</IPAdd>
  <FilePath>Z:\$Antika\MIS\2022-23\Mar 2023\LRF Annexure 1\LTF_Annexure 1 Disclosure_LRM guidelines_Mar 23.docx</FilePath>
  <KID>50C2E830D25D638170711553483770</KID>
  <UniqueName/>
  <Suggested/>
  <Justification/>
</Klassify>
</file>

<file path=customXml/itemProps1.xml><?xml version="1.0" encoding="utf-8"?>
<ds:datastoreItem xmlns:ds="http://schemas.openxmlformats.org/officeDocument/2006/customXml" ds:itemID="{042B8322-5134-418D-AE40-E0A627264E96}">
  <ds:schemaRefs/>
</ds:datastoreItem>
</file>

<file path=customXml/itemProps2.xml><?xml version="1.0" encoding="utf-8"?>
<ds:datastoreItem xmlns:ds="http://schemas.openxmlformats.org/officeDocument/2006/customXml" ds:itemID="{A14C8A55-AAEA-4ED3-A6A9-968E03E8EB23}">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20129703</dc:creator>
  <cp:lastModifiedBy>Deepti Shettigar</cp:lastModifiedBy>
  <cp:revision>89</cp:revision>
  <cp:lastPrinted>2020-08-14T10:27:00Z</cp:lastPrinted>
  <dcterms:created xsi:type="dcterms:W3CDTF">2020-01-22T14:27:00Z</dcterms:created>
  <dcterms:modified xsi:type="dcterms:W3CDTF">2023-07-17T10:03:00Z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Rules">
    <vt:lpwstr/>
  </property>
  <property fmtid="{D5CDD505-2E9C-101B-9397-08002B2CF9AE}" pid="4" name="Reclassification">
    <vt:lpwstr>Yes</vt:lpwstr>
  </property>
  <property fmtid="{D5CDD505-2E9C-101B-9397-08002B2CF9AE}" pid="5" name="Hostname">
    <vt:lpwstr>KAL50042552</vt:lpwstr>
  </property>
  <property fmtid="{D5CDD505-2E9C-101B-9397-08002B2CF9AE}" pid="6" name="Department">
    <vt:lpwstr>DevOps</vt:lpwstr>
  </property>
  <property fmtid="{D5CDD505-2E9C-101B-9397-08002B2CF9AE}" pid="7" name="Author">
    <vt:lpwstr>50042552</vt:lpwstr>
  </property>
  <property fmtid="{D5CDD505-2E9C-101B-9397-08002B2CF9AE}" pid="8" name="KID">
    <vt:lpwstr>50C2E830D25D638170711553483770</vt:lpwstr>
  </property>
</Properties>
</file>